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CB" w:rsidRDefault="009B51CB" w:rsidP="00E06A04">
      <w:pPr>
        <w:pStyle w:val="a4"/>
        <w:rPr>
          <w:sz w:val="22"/>
          <w:szCs w:val="22"/>
        </w:rPr>
      </w:pPr>
      <w:bookmarkStart w:id="0" w:name="_GoBack"/>
      <w:bookmarkEnd w:id="0"/>
      <w:r>
        <w:rPr>
          <w:sz w:val="22"/>
          <w:szCs w:val="22"/>
        </w:rPr>
        <w:t xml:space="preserve">СОГЛАШЕНИЕ </w:t>
      </w:r>
    </w:p>
    <w:p w:rsidR="009B51CB" w:rsidRDefault="009B51CB" w:rsidP="00E06A04">
      <w:pPr>
        <w:pStyle w:val="a4"/>
        <w:rPr>
          <w:sz w:val="22"/>
          <w:szCs w:val="22"/>
        </w:rPr>
      </w:pPr>
      <w:r>
        <w:rPr>
          <w:sz w:val="22"/>
          <w:szCs w:val="22"/>
        </w:rPr>
        <w:t>ОБ ЭЛЕКТРОННОМ ДОКУМЕНТООБОРОТЕ №____</w:t>
      </w:r>
    </w:p>
    <w:p w:rsidR="009B51CB" w:rsidRDefault="009B51CB" w:rsidP="00E06A04">
      <w:pPr>
        <w:tabs>
          <w:tab w:val="right" w:pos="9923"/>
        </w:tabs>
        <w:rPr>
          <w:sz w:val="22"/>
          <w:szCs w:val="22"/>
        </w:rPr>
      </w:pPr>
    </w:p>
    <w:p w:rsidR="009B51CB" w:rsidRDefault="009B51CB" w:rsidP="00E06A04">
      <w:pPr>
        <w:tabs>
          <w:tab w:val="right" w:pos="9356"/>
        </w:tabs>
        <w:rPr>
          <w:sz w:val="22"/>
          <w:szCs w:val="22"/>
        </w:rPr>
      </w:pPr>
      <w:r>
        <w:rPr>
          <w:sz w:val="22"/>
          <w:szCs w:val="22"/>
        </w:rPr>
        <w:t>г. ___________</w:t>
      </w:r>
      <w:r>
        <w:rPr>
          <w:sz w:val="22"/>
          <w:szCs w:val="22"/>
        </w:rPr>
        <w:tab/>
        <w:t>“__ ” __________ 20__ г.</w:t>
      </w:r>
    </w:p>
    <w:p w:rsidR="009B51CB" w:rsidRDefault="009B51CB" w:rsidP="00E06A04">
      <w:pPr>
        <w:jc w:val="both"/>
        <w:rPr>
          <w:sz w:val="22"/>
          <w:szCs w:val="22"/>
        </w:rPr>
      </w:pPr>
    </w:p>
    <w:p w:rsidR="009B51CB" w:rsidRDefault="00836AC7" w:rsidP="00836AC7">
      <w:pPr>
        <w:autoSpaceDE w:val="0"/>
        <w:autoSpaceDN w:val="0"/>
        <w:adjustRightInd w:val="0"/>
        <w:jc w:val="both"/>
        <w:rPr>
          <w:sz w:val="22"/>
          <w:szCs w:val="22"/>
        </w:rPr>
      </w:pPr>
      <w:proofErr w:type="gramStart"/>
      <w:r w:rsidRPr="00164630">
        <w:rPr>
          <w:b/>
          <w:sz w:val="22"/>
          <w:szCs w:val="22"/>
          <w:highlight w:val="yellow"/>
        </w:rPr>
        <w:t xml:space="preserve">Предприятия группы СИБУР (перечень предприятий в соответствии с Приложением №1 к данному </w:t>
      </w:r>
      <w:r w:rsidR="00AB2314" w:rsidRPr="00164630">
        <w:rPr>
          <w:b/>
          <w:sz w:val="22"/>
          <w:szCs w:val="22"/>
          <w:highlight w:val="yellow"/>
        </w:rPr>
        <w:t>соглашению)</w:t>
      </w:r>
      <w:r w:rsidRPr="00164630">
        <w:rPr>
          <w:sz w:val="22"/>
          <w:szCs w:val="22"/>
          <w:highlight w:val="yellow"/>
        </w:rPr>
        <w:t>, каждое именуемое в дальнейшем «</w:t>
      </w:r>
      <w:r w:rsidRPr="00164630">
        <w:rPr>
          <w:b/>
          <w:sz w:val="22"/>
          <w:szCs w:val="22"/>
          <w:highlight w:val="yellow"/>
        </w:rPr>
        <w:t>Сторона</w:t>
      </w:r>
      <w:r w:rsidR="00782AF2" w:rsidRPr="00164630">
        <w:rPr>
          <w:b/>
          <w:sz w:val="22"/>
          <w:szCs w:val="22"/>
          <w:highlight w:val="yellow"/>
        </w:rPr>
        <w:t>-</w:t>
      </w:r>
      <w:r w:rsidRPr="00164630">
        <w:rPr>
          <w:b/>
          <w:sz w:val="22"/>
          <w:szCs w:val="22"/>
          <w:highlight w:val="yellow"/>
        </w:rPr>
        <w:t>1</w:t>
      </w:r>
      <w:r w:rsidRPr="00164630">
        <w:rPr>
          <w:sz w:val="22"/>
          <w:szCs w:val="22"/>
          <w:highlight w:val="yellow"/>
        </w:rPr>
        <w:t>»</w:t>
      </w:r>
      <w:r w:rsidR="009B51CB" w:rsidRPr="00164630">
        <w:rPr>
          <w:sz w:val="22"/>
          <w:szCs w:val="22"/>
          <w:highlight w:val="yellow"/>
        </w:rPr>
        <w:t>,</w:t>
      </w:r>
      <w:r w:rsidR="009B51CB">
        <w:rPr>
          <w:sz w:val="22"/>
          <w:szCs w:val="22"/>
        </w:rPr>
        <w:t xml:space="preserve"> с одной стороны, и</w:t>
      </w:r>
      <w:r>
        <w:rPr>
          <w:sz w:val="22"/>
          <w:szCs w:val="22"/>
        </w:rPr>
        <w:t xml:space="preserve"> </w:t>
      </w:r>
      <w:r w:rsidRPr="00836AC7">
        <w:rPr>
          <w:b/>
          <w:sz w:val="22"/>
          <w:szCs w:val="22"/>
        </w:rPr>
        <w:t xml:space="preserve">Акционерное общество </w:t>
      </w:r>
      <w:r w:rsidR="00DA2E16">
        <w:rPr>
          <w:b/>
          <w:sz w:val="22"/>
          <w:szCs w:val="22"/>
        </w:rPr>
        <w:t>…</w:t>
      </w:r>
      <w:r w:rsidRPr="00836AC7">
        <w:rPr>
          <w:b/>
          <w:sz w:val="22"/>
          <w:szCs w:val="22"/>
        </w:rPr>
        <w:t xml:space="preserve"> (АО </w:t>
      </w:r>
      <w:r w:rsidR="00DA2E16">
        <w:rPr>
          <w:b/>
          <w:sz w:val="22"/>
          <w:szCs w:val="22"/>
        </w:rPr>
        <w:t>…</w:t>
      </w:r>
      <w:r w:rsidRPr="00836AC7">
        <w:rPr>
          <w:i/>
          <w:sz w:val="22"/>
          <w:szCs w:val="22"/>
        </w:rPr>
        <w:t>)</w:t>
      </w:r>
      <w:r>
        <w:rPr>
          <w:i/>
          <w:sz w:val="22"/>
          <w:szCs w:val="22"/>
        </w:rPr>
        <w:t xml:space="preserve">, </w:t>
      </w:r>
      <w:r w:rsidR="009B51CB">
        <w:rPr>
          <w:sz w:val="22"/>
          <w:szCs w:val="22"/>
        </w:rPr>
        <w:t>именуемое далее «</w:t>
      </w:r>
      <w:r w:rsidR="009B51CB">
        <w:rPr>
          <w:b/>
          <w:sz w:val="22"/>
          <w:szCs w:val="22"/>
        </w:rPr>
        <w:t>Сторона</w:t>
      </w:r>
      <w:r w:rsidR="00782AF2">
        <w:rPr>
          <w:b/>
          <w:sz w:val="22"/>
          <w:szCs w:val="22"/>
        </w:rPr>
        <w:t>-</w:t>
      </w:r>
      <w:r w:rsidR="009B51CB">
        <w:rPr>
          <w:b/>
          <w:sz w:val="22"/>
          <w:szCs w:val="22"/>
        </w:rPr>
        <w:t>2</w:t>
      </w:r>
      <w:r w:rsidR="009B51CB">
        <w:rPr>
          <w:sz w:val="22"/>
          <w:szCs w:val="22"/>
        </w:rPr>
        <w:t>», с другой стороны, далее по тексту вместе именуемые «</w:t>
      </w:r>
      <w:r w:rsidR="009B51CB">
        <w:rPr>
          <w:b/>
          <w:sz w:val="22"/>
          <w:szCs w:val="22"/>
        </w:rPr>
        <w:t>Стороны</w:t>
      </w:r>
      <w:r w:rsidR="009B51CB">
        <w:rPr>
          <w:sz w:val="22"/>
          <w:szCs w:val="22"/>
        </w:rPr>
        <w:t>» и каждая в отдельности «</w:t>
      </w:r>
      <w:r w:rsidR="009B51CB">
        <w:rPr>
          <w:b/>
          <w:sz w:val="22"/>
          <w:szCs w:val="22"/>
        </w:rPr>
        <w:t>Сторона</w:t>
      </w:r>
      <w:r w:rsidR="009B51CB">
        <w:rPr>
          <w:sz w:val="22"/>
          <w:szCs w:val="22"/>
        </w:rPr>
        <w:t>», в лице нижеуказанных представителей, заключили настоящее Соглашение о нижеследующем:</w:t>
      </w:r>
      <w:proofErr w:type="gramEnd"/>
    </w:p>
    <w:p w:rsidR="009B51CB" w:rsidRDefault="009B51CB" w:rsidP="00E06A04">
      <w:pPr>
        <w:numPr>
          <w:ilvl w:val="0"/>
          <w:numId w:val="1"/>
        </w:numPr>
        <w:spacing w:before="120"/>
        <w:ind w:left="567" w:hanging="567"/>
        <w:jc w:val="center"/>
        <w:rPr>
          <w:b/>
          <w:sz w:val="22"/>
          <w:szCs w:val="22"/>
        </w:rPr>
      </w:pPr>
      <w:r>
        <w:rPr>
          <w:b/>
          <w:sz w:val="22"/>
          <w:szCs w:val="22"/>
        </w:rPr>
        <w:t>Термины и определения</w:t>
      </w:r>
    </w:p>
    <w:p w:rsidR="009B51CB" w:rsidRDefault="009B51CB" w:rsidP="00E06A04">
      <w:pPr>
        <w:numPr>
          <w:ilvl w:val="1"/>
          <w:numId w:val="1"/>
        </w:numPr>
        <w:autoSpaceDE w:val="0"/>
        <w:autoSpaceDN w:val="0"/>
        <w:adjustRightInd w:val="0"/>
        <w:ind w:left="567" w:hanging="567"/>
        <w:jc w:val="both"/>
        <w:rPr>
          <w:b/>
          <w:bCs/>
          <w:sz w:val="22"/>
          <w:szCs w:val="22"/>
        </w:rPr>
      </w:pPr>
      <w:r>
        <w:rPr>
          <w:b/>
          <w:sz w:val="22"/>
          <w:szCs w:val="22"/>
        </w:rPr>
        <w:t>Электронный документ (ЭД</w:t>
      </w:r>
      <w:r>
        <w:rPr>
          <w:sz w:val="22"/>
          <w:szCs w:val="22"/>
        </w:rPr>
        <w:t>) –</w:t>
      </w:r>
      <w:r>
        <w:rPr>
          <w:bCs/>
          <w:sz w:val="22"/>
          <w:szCs w:val="22"/>
        </w:rPr>
        <w:t xml:space="preserve"> документированная информация, представленная в электронной форме, пригодная для обработки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B51CB" w:rsidRDefault="009B51CB" w:rsidP="00E06A04">
      <w:pPr>
        <w:numPr>
          <w:ilvl w:val="1"/>
          <w:numId w:val="1"/>
        </w:numPr>
        <w:autoSpaceDE w:val="0"/>
        <w:autoSpaceDN w:val="0"/>
        <w:adjustRightInd w:val="0"/>
        <w:ind w:left="567" w:hanging="567"/>
        <w:jc w:val="both"/>
        <w:rPr>
          <w:sz w:val="22"/>
          <w:szCs w:val="22"/>
        </w:rPr>
      </w:pPr>
      <w:r>
        <w:rPr>
          <w:b/>
          <w:sz w:val="22"/>
          <w:szCs w:val="22"/>
        </w:rPr>
        <w:t>Электронная подпись (ЭП)</w:t>
      </w:r>
      <w:r>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9B51CB" w:rsidRDefault="009B51CB" w:rsidP="00E06A04">
      <w:pPr>
        <w:numPr>
          <w:ilvl w:val="1"/>
          <w:numId w:val="1"/>
        </w:numPr>
        <w:autoSpaceDE w:val="0"/>
        <w:autoSpaceDN w:val="0"/>
        <w:adjustRightInd w:val="0"/>
        <w:ind w:left="567" w:hanging="567"/>
        <w:jc w:val="both"/>
        <w:rPr>
          <w:sz w:val="22"/>
          <w:szCs w:val="22"/>
        </w:rPr>
      </w:pPr>
      <w:r>
        <w:rPr>
          <w:b/>
          <w:sz w:val="22"/>
          <w:szCs w:val="22"/>
        </w:rPr>
        <w:t>Квалифицированная электронная подпись (КЭП)</w:t>
      </w:r>
      <w:r>
        <w:rPr>
          <w:sz w:val="22"/>
          <w:szCs w:val="22"/>
        </w:rPr>
        <w:t xml:space="preserve">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9B51CB" w:rsidRDefault="009B51CB" w:rsidP="00E06A04">
      <w:pPr>
        <w:numPr>
          <w:ilvl w:val="1"/>
          <w:numId w:val="1"/>
        </w:numPr>
        <w:autoSpaceDE w:val="0"/>
        <w:autoSpaceDN w:val="0"/>
        <w:adjustRightInd w:val="0"/>
        <w:ind w:left="567" w:hanging="567"/>
        <w:jc w:val="both"/>
        <w:rPr>
          <w:sz w:val="22"/>
          <w:szCs w:val="22"/>
        </w:rPr>
      </w:pPr>
      <w:r>
        <w:rPr>
          <w:b/>
          <w:sz w:val="22"/>
          <w:szCs w:val="22"/>
        </w:rPr>
        <w:t>Электронный документооборот (ЭДО)</w:t>
      </w:r>
      <w:r>
        <w:rPr>
          <w:sz w:val="22"/>
          <w:szCs w:val="22"/>
        </w:rPr>
        <w:t xml:space="preserve"> – 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rsidR="009B51CB" w:rsidRDefault="009B51CB" w:rsidP="00E06A04">
      <w:pPr>
        <w:numPr>
          <w:ilvl w:val="1"/>
          <w:numId w:val="1"/>
        </w:numPr>
        <w:autoSpaceDE w:val="0"/>
        <w:autoSpaceDN w:val="0"/>
        <w:adjustRightInd w:val="0"/>
        <w:ind w:left="567" w:hanging="567"/>
        <w:jc w:val="both"/>
        <w:rPr>
          <w:sz w:val="22"/>
          <w:szCs w:val="22"/>
        </w:rPr>
      </w:pPr>
      <w:r>
        <w:rPr>
          <w:b/>
          <w:color w:val="000000"/>
          <w:sz w:val="22"/>
          <w:szCs w:val="22"/>
        </w:rPr>
        <w:t>Оператор</w:t>
      </w:r>
      <w:r>
        <w:rPr>
          <w:sz w:val="22"/>
          <w:szCs w:val="22"/>
        </w:rPr>
        <w:t xml:space="preserve"> – организация, обеспечивающая обмен информацией по телекоммуникационным каналам связи в рамках электронного документооборота между Сторонами.</w:t>
      </w:r>
    </w:p>
    <w:p w:rsidR="009B51CB" w:rsidRDefault="009B51CB" w:rsidP="00E06A04">
      <w:pPr>
        <w:numPr>
          <w:ilvl w:val="1"/>
          <w:numId w:val="1"/>
        </w:numPr>
        <w:autoSpaceDE w:val="0"/>
        <w:autoSpaceDN w:val="0"/>
        <w:adjustRightInd w:val="0"/>
        <w:ind w:left="567" w:hanging="567"/>
        <w:jc w:val="both"/>
        <w:rPr>
          <w:sz w:val="22"/>
          <w:szCs w:val="22"/>
        </w:rPr>
      </w:pPr>
      <w:r>
        <w:rPr>
          <w:b/>
          <w:sz w:val="22"/>
          <w:szCs w:val="22"/>
        </w:rPr>
        <w:t>Направляющая Сторона</w:t>
      </w:r>
      <w:r>
        <w:rPr>
          <w:sz w:val="22"/>
          <w:szCs w:val="22"/>
        </w:rPr>
        <w:t xml:space="preserve"> – Сторона-1 или Сторона-2, направляющая документ в электронном виде по телекоммуникационным каналам связи другой Стороне.</w:t>
      </w:r>
    </w:p>
    <w:p w:rsidR="009B51CB" w:rsidRDefault="009B51CB" w:rsidP="00E06A04">
      <w:pPr>
        <w:numPr>
          <w:ilvl w:val="1"/>
          <w:numId w:val="1"/>
        </w:numPr>
        <w:autoSpaceDE w:val="0"/>
        <w:autoSpaceDN w:val="0"/>
        <w:adjustRightInd w:val="0"/>
        <w:ind w:left="567" w:hanging="567"/>
        <w:jc w:val="both"/>
        <w:rPr>
          <w:sz w:val="22"/>
          <w:szCs w:val="22"/>
        </w:rPr>
      </w:pPr>
      <w:r>
        <w:rPr>
          <w:b/>
          <w:sz w:val="22"/>
          <w:szCs w:val="22"/>
        </w:rPr>
        <w:t>Получающая Сторона</w:t>
      </w:r>
      <w:r>
        <w:rPr>
          <w:sz w:val="22"/>
          <w:szCs w:val="22"/>
        </w:rPr>
        <w:t xml:space="preserve"> – Сторона-1 или Сторона-2, получающая от Направляющей Стороны документ в электронном виде по телекоммуникационным каналам связи.</w:t>
      </w:r>
    </w:p>
    <w:p w:rsidR="009B51CB" w:rsidRDefault="009B51CB" w:rsidP="00E06A04">
      <w:pPr>
        <w:numPr>
          <w:ilvl w:val="0"/>
          <w:numId w:val="1"/>
        </w:numPr>
        <w:spacing w:before="120"/>
        <w:ind w:left="567" w:hanging="567"/>
        <w:jc w:val="center"/>
        <w:rPr>
          <w:b/>
          <w:sz w:val="22"/>
          <w:szCs w:val="22"/>
        </w:rPr>
      </w:pPr>
      <w:r>
        <w:rPr>
          <w:b/>
          <w:sz w:val="22"/>
          <w:szCs w:val="22"/>
        </w:rPr>
        <w:t>Предмет Соглашения</w:t>
      </w:r>
    </w:p>
    <w:p w:rsidR="009B51CB" w:rsidRDefault="009B51CB" w:rsidP="00E06A04">
      <w:pPr>
        <w:pStyle w:val="ConsPlusNormal"/>
        <w:numPr>
          <w:ilvl w:val="1"/>
          <w:numId w:val="1"/>
        </w:numPr>
        <w:ind w:left="567" w:hanging="567"/>
        <w:jc w:val="both"/>
        <w:rPr>
          <w:rFonts w:ascii="Times New Roman" w:hAnsi="Times New Roman" w:cs="Times New Roman"/>
          <w:sz w:val="22"/>
          <w:szCs w:val="22"/>
        </w:rPr>
      </w:pPr>
      <w:r>
        <w:rPr>
          <w:rFonts w:ascii="Times New Roman" w:hAnsi="Times New Roman" w:cs="Times New Roman"/>
          <w:sz w:val="22"/>
          <w:szCs w:val="22"/>
        </w:rPr>
        <w:t>Настоящим Соглашением Стороны определяют порядок применения электронного документооборота в процессе исполнения обязательств по договору</w:t>
      </w:r>
      <w:proofErr w:type="gramStart"/>
      <w:r w:rsidRPr="00C419F5">
        <w:rPr>
          <w:rFonts w:ascii="Times New Roman" w:hAnsi="Times New Roman" w:cs="Times New Roman"/>
          <w:sz w:val="22"/>
          <w:szCs w:val="22"/>
        </w:rPr>
        <w:t xml:space="preserve"> (-</w:t>
      </w:r>
      <w:proofErr w:type="spellStart"/>
      <w:proofErr w:type="gramEnd"/>
      <w:r>
        <w:rPr>
          <w:rFonts w:ascii="Times New Roman" w:hAnsi="Times New Roman" w:cs="Times New Roman"/>
          <w:sz w:val="22"/>
          <w:szCs w:val="22"/>
        </w:rPr>
        <w:t>ам</w:t>
      </w:r>
      <w:proofErr w:type="spellEnd"/>
      <w:r w:rsidRPr="00C419F5">
        <w:rPr>
          <w:rFonts w:ascii="Times New Roman" w:hAnsi="Times New Roman" w:cs="Times New Roman"/>
          <w:sz w:val="22"/>
          <w:szCs w:val="22"/>
        </w:rPr>
        <w:t>)</w:t>
      </w:r>
      <w:r>
        <w:rPr>
          <w:rFonts w:ascii="Times New Roman" w:hAnsi="Times New Roman" w:cs="Times New Roman"/>
          <w:sz w:val="22"/>
          <w:szCs w:val="22"/>
        </w:rPr>
        <w:t>,</w:t>
      </w:r>
      <w:r>
        <w:rPr>
          <w:rFonts w:ascii="Times New Roman" w:hAnsi="Times New Roman" w:cs="Times New Roman"/>
          <w:b/>
          <w:sz w:val="22"/>
          <w:szCs w:val="22"/>
        </w:rPr>
        <w:t xml:space="preserve"> </w:t>
      </w:r>
      <w:r>
        <w:rPr>
          <w:rFonts w:ascii="Times New Roman" w:hAnsi="Times New Roman" w:cs="Times New Roman"/>
          <w:sz w:val="22"/>
          <w:szCs w:val="22"/>
        </w:rPr>
        <w:t>заключенному (-ым) между Сторонами на момент подписания настоящего Соглашения,  и по договорам, которые будут заключены между Сторонами в будущем (далее – Договор, Договоры).</w:t>
      </w:r>
    </w:p>
    <w:p w:rsidR="009B51CB" w:rsidRDefault="009B51CB" w:rsidP="00E06A04">
      <w:pPr>
        <w:widowControl w:val="0"/>
        <w:numPr>
          <w:ilvl w:val="1"/>
          <w:numId w:val="1"/>
        </w:numPr>
        <w:autoSpaceDE w:val="0"/>
        <w:autoSpaceDN w:val="0"/>
        <w:ind w:left="567" w:hanging="567"/>
        <w:jc w:val="both"/>
        <w:rPr>
          <w:sz w:val="22"/>
          <w:szCs w:val="22"/>
        </w:rPr>
      </w:pPr>
      <w:r>
        <w:rPr>
          <w:sz w:val="22"/>
          <w:szCs w:val="22"/>
        </w:rPr>
        <w:t xml:space="preserve">Перечень документов, </w:t>
      </w:r>
      <w:proofErr w:type="gramStart"/>
      <w:r>
        <w:rPr>
          <w:sz w:val="22"/>
          <w:szCs w:val="22"/>
        </w:rPr>
        <w:t>оформляемых</w:t>
      </w:r>
      <w:proofErr w:type="gramEnd"/>
      <w:r>
        <w:rPr>
          <w:sz w:val="22"/>
          <w:szCs w:val="22"/>
        </w:rPr>
        <w:t xml:space="preserve"> с использованием ЭДО:</w:t>
      </w:r>
    </w:p>
    <w:p w:rsidR="009B51CB" w:rsidRDefault="009B51CB" w:rsidP="00E06A04">
      <w:pPr>
        <w:numPr>
          <w:ilvl w:val="2"/>
          <w:numId w:val="1"/>
        </w:numPr>
        <w:autoSpaceDE w:val="0"/>
        <w:autoSpaceDN w:val="0"/>
        <w:adjustRightInd w:val="0"/>
        <w:ind w:left="993" w:hanging="709"/>
        <w:jc w:val="both"/>
        <w:rPr>
          <w:sz w:val="22"/>
          <w:szCs w:val="22"/>
        </w:rPr>
      </w:pPr>
      <w:r>
        <w:rPr>
          <w:sz w:val="22"/>
          <w:szCs w:val="22"/>
        </w:rPr>
        <w:t>Договоры, а также дополнительные соглашения (спецификации, иные приложения) к ним;</w:t>
      </w:r>
    </w:p>
    <w:p w:rsidR="009B51CB" w:rsidRDefault="009B51CB" w:rsidP="00E06A04">
      <w:pPr>
        <w:numPr>
          <w:ilvl w:val="2"/>
          <w:numId w:val="1"/>
        </w:numPr>
        <w:autoSpaceDE w:val="0"/>
        <w:autoSpaceDN w:val="0"/>
        <w:adjustRightInd w:val="0"/>
        <w:ind w:left="993" w:hanging="709"/>
        <w:jc w:val="both"/>
        <w:rPr>
          <w:sz w:val="22"/>
          <w:szCs w:val="22"/>
        </w:rPr>
      </w:pPr>
      <w:r>
        <w:rPr>
          <w:sz w:val="22"/>
          <w:szCs w:val="22"/>
        </w:rPr>
        <w:t>счета-фактуры;</w:t>
      </w:r>
    </w:p>
    <w:p w:rsidR="009B51CB" w:rsidRDefault="009B51CB" w:rsidP="00E06A04">
      <w:pPr>
        <w:numPr>
          <w:ilvl w:val="2"/>
          <w:numId w:val="1"/>
        </w:numPr>
        <w:autoSpaceDE w:val="0"/>
        <w:autoSpaceDN w:val="0"/>
        <w:adjustRightInd w:val="0"/>
        <w:ind w:left="993" w:hanging="709"/>
        <w:jc w:val="both"/>
        <w:rPr>
          <w:sz w:val="22"/>
          <w:szCs w:val="22"/>
        </w:rPr>
      </w:pPr>
      <w:r>
        <w:rPr>
          <w:sz w:val="22"/>
          <w:szCs w:val="22"/>
        </w:rPr>
        <w:t>первичные документы, в том числе товарная накладная или Универсальный передаточный документ;</w:t>
      </w:r>
    </w:p>
    <w:p w:rsidR="009B51CB" w:rsidRDefault="009B51CB" w:rsidP="00E06A04">
      <w:pPr>
        <w:numPr>
          <w:ilvl w:val="2"/>
          <w:numId w:val="1"/>
        </w:numPr>
        <w:autoSpaceDE w:val="0"/>
        <w:autoSpaceDN w:val="0"/>
        <w:adjustRightInd w:val="0"/>
        <w:ind w:left="993" w:hanging="709"/>
        <w:jc w:val="both"/>
        <w:rPr>
          <w:sz w:val="22"/>
          <w:szCs w:val="22"/>
        </w:rPr>
      </w:pPr>
      <w:r>
        <w:rPr>
          <w:sz w:val="22"/>
          <w:szCs w:val="22"/>
        </w:rPr>
        <w:t>иные документы, связанные с исполнением Договора, за исключением документов, в отношении которых Стороны договорились использовать иные способы оформления и обмена документами.</w:t>
      </w:r>
    </w:p>
    <w:p w:rsidR="009B51CB" w:rsidRDefault="009B51CB" w:rsidP="00E06A04">
      <w:pPr>
        <w:pStyle w:val="ConsPlusNormal"/>
        <w:numPr>
          <w:ilvl w:val="1"/>
          <w:numId w:val="1"/>
        </w:numPr>
        <w:ind w:left="567" w:hanging="567"/>
        <w:jc w:val="both"/>
        <w:rPr>
          <w:rFonts w:ascii="Times New Roman" w:hAnsi="Times New Roman" w:cs="Times New Roman"/>
          <w:sz w:val="22"/>
          <w:szCs w:val="22"/>
        </w:rPr>
      </w:pPr>
      <w:r>
        <w:rPr>
          <w:rFonts w:ascii="Times New Roman" w:hAnsi="Times New Roman" w:cs="Times New Roman"/>
          <w:sz w:val="22"/>
          <w:szCs w:val="22"/>
        </w:rPr>
        <w:t>Электронные документы заверяются электронной подписью уполномоченного лица отправителя документа. Каждая из Сторон может иметь несколько уполномоченных лиц для обмена документами. Каждое уполномоченное лицо должно иметь собственную ЭП,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rsidR="009B51CB" w:rsidRDefault="009B51CB" w:rsidP="00E06A04">
      <w:pPr>
        <w:pStyle w:val="ConsPlusNormal"/>
        <w:numPr>
          <w:ilvl w:val="1"/>
          <w:numId w:val="1"/>
        </w:numPr>
        <w:ind w:left="567" w:hanging="567"/>
        <w:jc w:val="both"/>
        <w:rPr>
          <w:rFonts w:ascii="Times New Roman" w:hAnsi="Times New Roman" w:cs="Times New Roman"/>
          <w:sz w:val="22"/>
          <w:szCs w:val="22"/>
        </w:rPr>
      </w:pPr>
      <w:r>
        <w:rPr>
          <w:rFonts w:ascii="Times New Roman" w:hAnsi="Times New Roman" w:cs="Times New Roman"/>
          <w:sz w:val="22"/>
          <w:szCs w:val="22"/>
        </w:rPr>
        <w:t>Стороны для организации ЭДО используют Квалифицированную электронную подпись, сформированную в соответствии с ФЗ «Об электронной подписи», что предполагает получение Сторонами сертификатов ключа проверки электронной подписи в аккредитованном удостоверяющем центре (УЦ).</w:t>
      </w:r>
    </w:p>
    <w:p w:rsidR="009B51CB" w:rsidRDefault="009B51CB" w:rsidP="00E06A04">
      <w:pPr>
        <w:pStyle w:val="ConsPlusNormal"/>
        <w:numPr>
          <w:ilvl w:val="1"/>
          <w:numId w:val="1"/>
        </w:numPr>
        <w:ind w:left="567" w:hanging="567"/>
        <w:jc w:val="both"/>
        <w:rPr>
          <w:rFonts w:ascii="Times New Roman" w:hAnsi="Times New Roman" w:cs="Times New Roman"/>
          <w:sz w:val="22"/>
          <w:szCs w:val="22"/>
        </w:rPr>
      </w:pPr>
      <w:r>
        <w:rPr>
          <w:rFonts w:ascii="Times New Roman" w:hAnsi="Times New Roman" w:cs="Times New Roman"/>
          <w:sz w:val="22"/>
          <w:szCs w:val="22"/>
        </w:rPr>
        <w:lastRenderedPageBreak/>
        <w:t>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9B51CB" w:rsidRDefault="009B51CB" w:rsidP="0068064C">
      <w:pPr>
        <w:pStyle w:val="ConsPlusNormal"/>
        <w:jc w:val="both"/>
        <w:rPr>
          <w:rFonts w:ascii="Times New Roman" w:hAnsi="Times New Roman" w:cs="Times New Roman"/>
          <w:sz w:val="22"/>
          <w:szCs w:val="22"/>
        </w:rPr>
      </w:pPr>
    </w:p>
    <w:p w:rsidR="009B51CB" w:rsidRDefault="009B51CB" w:rsidP="00E06A04">
      <w:pPr>
        <w:numPr>
          <w:ilvl w:val="0"/>
          <w:numId w:val="1"/>
        </w:numPr>
        <w:spacing w:before="120"/>
        <w:ind w:left="567" w:hanging="567"/>
        <w:jc w:val="center"/>
        <w:rPr>
          <w:b/>
          <w:sz w:val="22"/>
          <w:szCs w:val="22"/>
        </w:rPr>
      </w:pPr>
      <w:r>
        <w:rPr>
          <w:b/>
          <w:sz w:val="22"/>
          <w:szCs w:val="22"/>
        </w:rPr>
        <w:t>Порядок применения ЭДО</w:t>
      </w:r>
    </w:p>
    <w:p w:rsidR="009B51CB" w:rsidRDefault="009B51CB" w:rsidP="00E06A04">
      <w:pPr>
        <w:pStyle w:val="a6"/>
        <w:numPr>
          <w:ilvl w:val="1"/>
          <w:numId w:val="2"/>
        </w:numPr>
        <w:ind w:left="567" w:hanging="567"/>
        <w:contextualSpacing/>
        <w:jc w:val="both"/>
        <w:rPr>
          <w:sz w:val="22"/>
          <w:szCs w:val="22"/>
        </w:rPr>
      </w:pPr>
      <w:r>
        <w:rPr>
          <w:sz w:val="22"/>
          <w:szCs w:val="22"/>
        </w:rPr>
        <w:t>Каждая из Сторон самостоятельно и за свой счет организует электронный документооборот.</w:t>
      </w:r>
    </w:p>
    <w:p w:rsidR="009B51CB" w:rsidRDefault="009B51CB" w:rsidP="00E06A04">
      <w:pPr>
        <w:pStyle w:val="a6"/>
        <w:numPr>
          <w:ilvl w:val="1"/>
          <w:numId w:val="2"/>
        </w:numPr>
        <w:ind w:left="567" w:hanging="567"/>
        <w:contextualSpacing/>
        <w:jc w:val="both"/>
        <w:rPr>
          <w:sz w:val="22"/>
          <w:szCs w:val="22"/>
        </w:rPr>
      </w:pPr>
      <w:r>
        <w:rPr>
          <w:sz w:val="22"/>
          <w:szCs w:val="22"/>
        </w:rPr>
        <w:t>Электронный обмен (передача) документов между Сторонами производится с помощью одной из организаций – Операторов электронного документооборота, согласно актуальному на день подписания настоящего Соглашения списку операторов на сайте Федеральной налоговой службы (</w:t>
      </w:r>
      <w:hyperlink r:id="rId8" w:history="1">
        <w:r>
          <w:rPr>
            <w:rStyle w:val="a3"/>
            <w:sz w:val="22"/>
            <w:szCs w:val="22"/>
          </w:rPr>
          <w:t>https://www.nalog.ru/rn77/taxation/submission_statements/operations/</w:t>
        </w:r>
      </w:hyperlink>
      <w:r>
        <w:rPr>
          <w:sz w:val="22"/>
          <w:szCs w:val="22"/>
        </w:rPr>
        <w:t>).</w:t>
      </w:r>
    </w:p>
    <w:p w:rsidR="009B51CB" w:rsidRDefault="009B51CB" w:rsidP="00E06A04">
      <w:pPr>
        <w:pStyle w:val="a6"/>
        <w:ind w:left="567"/>
        <w:contextualSpacing/>
        <w:jc w:val="both"/>
        <w:rPr>
          <w:sz w:val="22"/>
          <w:szCs w:val="22"/>
        </w:rPr>
      </w:pPr>
      <w:r>
        <w:rPr>
          <w:sz w:val="22"/>
          <w:szCs w:val="22"/>
        </w:rPr>
        <w:t>Стороны в течение срока действия настоящего Соглашения обязаны обеспечить отправление и получение документов в электронной форме через Операторов ЭДО, включенных в список операторов на сайте Федеральной налоговой службы.</w:t>
      </w:r>
    </w:p>
    <w:p w:rsidR="009B51CB" w:rsidRDefault="009B51CB" w:rsidP="00E06A04">
      <w:pPr>
        <w:pStyle w:val="a6"/>
        <w:ind w:left="567"/>
        <w:contextualSpacing/>
        <w:jc w:val="both"/>
        <w:rPr>
          <w:sz w:val="22"/>
          <w:szCs w:val="22"/>
        </w:rPr>
      </w:pPr>
      <w:r>
        <w:rPr>
          <w:sz w:val="22"/>
          <w:szCs w:val="22"/>
        </w:rPr>
        <w:t xml:space="preserve">Стороны обязуются заключить договор на оказание соответствующих услуг с Оператором ЭДО в течение 60 (шестидесяти) дней с даты подписания настоящего Соглашения </w:t>
      </w:r>
    </w:p>
    <w:p w:rsidR="009B51CB" w:rsidRDefault="009B51CB" w:rsidP="00E06A04">
      <w:pPr>
        <w:pStyle w:val="a6"/>
        <w:numPr>
          <w:ilvl w:val="1"/>
          <w:numId w:val="2"/>
        </w:numPr>
        <w:ind w:left="567" w:hanging="567"/>
        <w:contextualSpacing/>
        <w:jc w:val="both"/>
        <w:rPr>
          <w:sz w:val="22"/>
          <w:szCs w:val="22"/>
        </w:rPr>
      </w:pPr>
      <w:r>
        <w:rPr>
          <w:sz w:val="22"/>
          <w:szCs w:val="22"/>
        </w:rPr>
        <w:t>Стороны не позднее 60 (шестидесяти) дней с даты подписания настоящего Соглашения обязуются за свой счет получить в УЦ сертификаты КЭП и своевременно их продлевать в течение всего срока действия настоящего Соглашения.</w:t>
      </w:r>
    </w:p>
    <w:p w:rsidR="009B51CB" w:rsidRDefault="009B51CB" w:rsidP="00E06A04">
      <w:pPr>
        <w:pStyle w:val="a6"/>
        <w:numPr>
          <w:ilvl w:val="1"/>
          <w:numId w:val="2"/>
        </w:numPr>
        <w:ind w:left="567" w:hanging="567"/>
        <w:contextualSpacing/>
        <w:jc w:val="both"/>
        <w:rPr>
          <w:sz w:val="22"/>
          <w:szCs w:val="22"/>
        </w:rPr>
      </w:pPr>
      <w:r>
        <w:rPr>
          <w:sz w:val="22"/>
          <w:szCs w:val="22"/>
        </w:rPr>
        <w:t>Условия использования средств ЭП, порядок проверки ЭП, правила обращения с ключами и сертификатами КЭП устанавливаются нормативными документами (регламентами) УЦ.</w:t>
      </w:r>
    </w:p>
    <w:p w:rsidR="009B51CB" w:rsidRDefault="009B51CB" w:rsidP="00E06A04">
      <w:pPr>
        <w:pStyle w:val="a6"/>
        <w:numPr>
          <w:ilvl w:val="1"/>
          <w:numId w:val="2"/>
        </w:numPr>
        <w:ind w:left="567" w:hanging="567"/>
        <w:contextualSpacing/>
        <w:jc w:val="both"/>
        <w:rPr>
          <w:sz w:val="22"/>
          <w:szCs w:val="22"/>
        </w:rPr>
      </w:pPr>
      <w:r>
        <w:rPr>
          <w:sz w:val="22"/>
          <w:szCs w:val="22"/>
        </w:rPr>
        <w:t xml:space="preserve">Стороны признают, что используемые средства подготовки, передачи и </w:t>
      </w:r>
      <w:proofErr w:type="gramStart"/>
      <w:r>
        <w:rPr>
          <w:sz w:val="22"/>
          <w:szCs w:val="22"/>
        </w:rPr>
        <w:t>проверки</w:t>
      </w:r>
      <w:proofErr w:type="gramEnd"/>
      <w:r>
        <w:rPr>
          <w:sz w:val="22"/>
          <w:szCs w:val="22"/>
        </w:rPr>
        <w:t xml:space="preserve"> электронных документов достаточны для обеспечения надежного и безопасного документооборота. В случае возникновения каких-либо технических ограничений на использование средств подготовки, передачи и </w:t>
      </w:r>
      <w:proofErr w:type="gramStart"/>
      <w:r>
        <w:rPr>
          <w:sz w:val="22"/>
          <w:szCs w:val="22"/>
        </w:rPr>
        <w:t>проверки</w:t>
      </w:r>
      <w:proofErr w:type="gramEnd"/>
      <w:r>
        <w:rPr>
          <w:sz w:val="22"/>
          <w:szCs w:val="22"/>
        </w:rPr>
        <w:t xml:space="preserve"> электронных документов Стороны обязуются незамедлительно поставить об этом в известность другую Сторону.</w:t>
      </w:r>
    </w:p>
    <w:p w:rsidR="009B51CB" w:rsidRDefault="009B51CB" w:rsidP="00E06A04">
      <w:pPr>
        <w:pStyle w:val="a6"/>
        <w:numPr>
          <w:ilvl w:val="1"/>
          <w:numId w:val="2"/>
        </w:numPr>
        <w:ind w:left="567" w:hanging="567"/>
        <w:contextualSpacing/>
        <w:jc w:val="both"/>
        <w:rPr>
          <w:sz w:val="22"/>
          <w:szCs w:val="22"/>
        </w:rPr>
      </w:pPr>
      <w:r>
        <w:rPr>
          <w:sz w:val="22"/>
          <w:szCs w:val="22"/>
        </w:rPr>
        <w:t>Датой направления документов в электронной форме по телекоммуникационным каналам связи считается дата поступления файла документа Оператору от Направляющей Стороны, указанная в подтверждении Оператора.</w:t>
      </w:r>
      <w:bookmarkStart w:id="1" w:name="Par51"/>
      <w:bookmarkEnd w:id="1"/>
    </w:p>
    <w:p w:rsidR="009B51CB" w:rsidRDefault="009B51CB" w:rsidP="00E06A04">
      <w:pPr>
        <w:pStyle w:val="a6"/>
        <w:ind w:left="567"/>
        <w:contextualSpacing/>
        <w:jc w:val="both"/>
        <w:rPr>
          <w:sz w:val="22"/>
          <w:szCs w:val="22"/>
        </w:rPr>
      </w:pPr>
      <w:r>
        <w:rPr>
          <w:sz w:val="22"/>
          <w:szCs w:val="22"/>
        </w:rPr>
        <w:t>Датой получения документа в электронной форме по телекоммуникационным каналам связи считается дата направления Получающей Стороне Оператором файла документа, указанная в подтверждении Оператора.</w:t>
      </w:r>
    </w:p>
    <w:p w:rsidR="009B51CB" w:rsidRDefault="009B51CB" w:rsidP="00E06A04">
      <w:pPr>
        <w:pStyle w:val="a6"/>
        <w:numPr>
          <w:ilvl w:val="1"/>
          <w:numId w:val="2"/>
        </w:numPr>
        <w:ind w:left="567" w:hanging="567"/>
        <w:contextualSpacing/>
        <w:jc w:val="both"/>
        <w:rPr>
          <w:sz w:val="22"/>
          <w:szCs w:val="22"/>
        </w:rPr>
      </w:pPr>
      <w:r>
        <w:rPr>
          <w:sz w:val="22"/>
          <w:szCs w:val="22"/>
        </w:rPr>
        <w:t>Сторона  направляет документы в электронном виде по системе ЭДО путем направления их в адрес другой Стороны.</w:t>
      </w:r>
    </w:p>
    <w:p w:rsidR="009B51CB" w:rsidRDefault="009B51CB" w:rsidP="00E06A04">
      <w:pPr>
        <w:pStyle w:val="a6"/>
        <w:numPr>
          <w:ilvl w:val="1"/>
          <w:numId w:val="2"/>
        </w:numPr>
        <w:ind w:left="567" w:hanging="567"/>
        <w:contextualSpacing/>
        <w:jc w:val="both"/>
        <w:rPr>
          <w:sz w:val="22"/>
          <w:szCs w:val="22"/>
        </w:rPr>
      </w:pPr>
      <w:r>
        <w:rPr>
          <w:sz w:val="22"/>
          <w:szCs w:val="22"/>
        </w:rPr>
        <w:t>Стороны признают, что используемые электронные документы, подписанные КЭП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w:t>
      </w:r>
    </w:p>
    <w:p w:rsidR="009B51CB" w:rsidRDefault="009B51CB" w:rsidP="00E06A04">
      <w:pPr>
        <w:pStyle w:val="a6"/>
        <w:numPr>
          <w:ilvl w:val="1"/>
          <w:numId w:val="2"/>
        </w:numPr>
        <w:ind w:left="567" w:hanging="567"/>
        <w:contextualSpacing/>
        <w:jc w:val="both"/>
        <w:rPr>
          <w:sz w:val="22"/>
          <w:szCs w:val="22"/>
        </w:rPr>
      </w:pPr>
      <w:r>
        <w:rPr>
          <w:sz w:val="22"/>
          <w:szCs w:val="22"/>
        </w:rPr>
        <w:t xml:space="preserve">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w:t>
      </w:r>
      <w:proofErr w:type="gramStart"/>
      <w:r>
        <w:rPr>
          <w:sz w:val="22"/>
          <w:szCs w:val="22"/>
        </w:rPr>
        <w:t>пределах</w:t>
      </w:r>
      <w:proofErr w:type="gramEnd"/>
      <w:r>
        <w:rPr>
          <w:sz w:val="22"/>
          <w:szCs w:val="22"/>
        </w:rPr>
        <w:t xml:space="preserve"> имеющихся у него полномочий и достаточных для подписания такого документа.</w:t>
      </w:r>
    </w:p>
    <w:p w:rsidR="009B51CB" w:rsidRDefault="009B51CB" w:rsidP="00E06A04">
      <w:pPr>
        <w:pStyle w:val="a6"/>
        <w:numPr>
          <w:ilvl w:val="1"/>
          <w:numId w:val="2"/>
        </w:numPr>
        <w:ind w:left="567" w:hanging="567"/>
        <w:contextualSpacing/>
        <w:jc w:val="both"/>
        <w:rPr>
          <w:sz w:val="22"/>
          <w:szCs w:val="22"/>
        </w:rPr>
      </w:pPr>
      <w:r>
        <w:rPr>
          <w:sz w:val="22"/>
          <w:szCs w:val="22"/>
        </w:rPr>
        <w:t xml:space="preserve">Организация ЭДО между Сторонами не отменяет использование иных способов изготовления и обмена документами между Сторонами в рамках Договоров. </w:t>
      </w:r>
    </w:p>
    <w:p w:rsidR="009B51CB" w:rsidRDefault="009B51CB" w:rsidP="00E06A04">
      <w:pPr>
        <w:numPr>
          <w:ilvl w:val="0"/>
          <w:numId w:val="1"/>
        </w:numPr>
        <w:spacing w:before="120"/>
        <w:ind w:left="567" w:hanging="567"/>
        <w:jc w:val="center"/>
        <w:rPr>
          <w:b/>
          <w:sz w:val="22"/>
          <w:szCs w:val="22"/>
        </w:rPr>
      </w:pPr>
      <w:r>
        <w:rPr>
          <w:b/>
          <w:sz w:val="22"/>
          <w:szCs w:val="22"/>
        </w:rPr>
        <w:t>Порядок выставления счетов-фактур в электронном виде</w:t>
      </w:r>
    </w:p>
    <w:p w:rsidR="009B51CB" w:rsidRDefault="009B51CB" w:rsidP="00E06A04">
      <w:pPr>
        <w:numPr>
          <w:ilvl w:val="1"/>
          <w:numId w:val="1"/>
        </w:numPr>
        <w:ind w:left="567" w:hanging="567"/>
        <w:jc w:val="both"/>
        <w:rPr>
          <w:sz w:val="22"/>
          <w:szCs w:val="22"/>
        </w:rPr>
      </w:pPr>
      <w:r>
        <w:rPr>
          <w:sz w:val="22"/>
          <w:szCs w:val="22"/>
        </w:rPr>
        <w:t>При выставлении и получении счетов-фактур Стороны руководствуются порядком, закрепленным в приказе Минфина России от 10.11.2015 № 174н.</w:t>
      </w:r>
    </w:p>
    <w:p w:rsidR="009B51CB" w:rsidRDefault="009B51CB" w:rsidP="00E06A04">
      <w:pPr>
        <w:numPr>
          <w:ilvl w:val="1"/>
          <w:numId w:val="1"/>
        </w:numPr>
        <w:ind w:left="567" w:hanging="567"/>
        <w:jc w:val="both"/>
        <w:rPr>
          <w:sz w:val="22"/>
          <w:szCs w:val="22"/>
        </w:rPr>
      </w:pPr>
      <w:r>
        <w:rPr>
          <w:sz w:val="22"/>
          <w:szCs w:val="22"/>
        </w:rPr>
        <w:t>До начала обмена счетами-фактурами в электронном виде Стороны обязуются стать участниками обмена счетами-фактурами и получить у Операторов идентификаторы участников.</w:t>
      </w:r>
    </w:p>
    <w:p w:rsidR="009B51CB" w:rsidRDefault="009B51CB" w:rsidP="00E06A04">
      <w:pPr>
        <w:numPr>
          <w:ilvl w:val="0"/>
          <w:numId w:val="1"/>
        </w:numPr>
        <w:spacing w:before="120"/>
        <w:ind w:left="567" w:hanging="567"/>
        <w:jc w:val="center"/>
        <w:rPr>
          <w:b/>
          <w:sz w:val="22"/>
          <w:szCs w:val="22"/>
        </w:rPr>
      </w:pPr>
      <w:r>
        <w:rPr>
          <w:b/>
          <w:sz w:val="22"/>
          <w:szCs w:val="22"/>
        </w:rPr>
        <w:t>Порядок обмена договорными и первичными документами</w:t>
      </w:r>
    </w:p>
    <w:p w:rsidR="009B51CB" w:rsidRDefault="009B51CB" w:rsidP="00E06A04">
      <w:pPr>
        <w:numPr>
          <w:ilvl w:val="1"/>
          <w:numId w:val="1"/>
        </w:numPr>
        <w:ind w:left="567" w:hanging="567"/>
        <w:jc w:val="both"/>
        <w:rPr>
          <w:sz w:val="22"/>
          <w:szCs w:val="22"/>
        </w:rPr>
      </w:pPr>
      <w:r>
        <w:rPr>
          <w:sz w:val="22"/>
          <w:szCs w:val="22"/>
        </w:rPr>
        <w:lastRenderedPageBreak/>
        <w:t>Направляющая Сторона формирует необходимый документ в электронном виде в системе программного обеспечения (ПО), подписывает его КЭП, и отправляет через Оператора Получающей Стороне.</w:t>
      </w:r>
    </w:p>
    <w:p w:rsidR="009B51CB" w:rsidRDefault="009B51CB" w:rsidP="00E06A04">
      <w:pPr>
        <w:numPr>
          <w:ilvl w:val="1"/>
          <w:numId w:val="1"/>
        </w:numPr>
        <w:ind w:left="567" w:hanging="567"/>
        <w:jc w:val="both"/>
        <w:rPr>
          <w:sz w:val="22"/>
          <w:szCs w:val="22"/>
        </w:rPr>
      </w:pPr>
      <w:r>
        <w:rPr>
          <w:sz w:val="22"/>
          <w:szCs w:val="22"/>
        </w:rPr>
        <w:t xml:space="preserve">Получающая Сторона при получении документа от Оператора проверяет действительность сертификата КЭП и сохраняет документ в системе </w:t>
      </w:r>
      <w:proofErr w:type="gramStart"/>
      <w:r>
        <w:rPr>
          <w:sz w:val="22"/>
          <w:szCs w:val="22"/>
        </w:rPr>
        <w:t>ПО</w:t>
      </w:r>
      <w:proofErr w:type="gramEnd"/>
      <w:r>
        <w:rPr>
          <w:sz w:val="22"/>
          <w:szCs w:val="22"/>
        </w:rPr>
        <w:t>.</w:t>
      </w:r>
    </w:p>
    <w:p w:rsidR="009B51CB" w:rsidRDefault="009B51CB" w:rsidP="00E06A04">
      <w:pPr>
        <w:numPr>
          <w:ilvl w:val="1"/>
          <w:numId w:val="1"/>
        </w:numPr>
        <w:ind w:left="567" w:hanging="567"/>
        <w:jc w:val="both"/>
        <w:rPr>
          <w:sz w:val="22"/>
          <w:szCs w:val="22"/>
        </w:rPr>
      </w:pPr>
      <w:r>
        <w:rPr>
          <w:sz w:val="22"/>
          <w:szCs w:val="22"/>
        </w:rPr>
        <w:t>Получающая Сторона должна в течение 3 (трех) рабочих дней с даты получения документа от Оператора совершить одно из следующих действий:</w:t>
      </w:r>
    </w:p>
    <w:p w:rsidR="009B51CB" w:rsidRDefault="009B51CB" w:rsidP="00E06A04">
      <w:pPr>
        <w:numPr>
          <w:ilvl w:val="2"/>
          <w:numId w:val="1"/>
        </w:numPr>
        <w:ind w:left="567" w:hanging="567"/>
        <w:jc w:val="both"/>
        <w:rPr>
          <w:sz w:val="22"/>
          <w:szCs w:val="22"/>
        </w:rPr>
      </w:pPr>
      <w:r>
        <w:rPr>
          <w:sz w:val="22"/>
          <w:szCs w:val="22"/>
        </w:rPr>
        <w:t>подписать документ КЭП и отправить Направляющей Стороне через Оператора – в том случае, если Получающая Сторона согласна с содержанием документа;</w:t>
      </w:r>
    </w:p>
    <w:p w:rsidR="009B51CB" w:rsidRDefault="009B51CB" w:rsidP="00E06A04">
      <w:pPr>
        <w:numPr>
          <w:ilvl w:val="2"/>
          <w:numId w:val="1"/>
        </w:numPr>
        <w:ind w:left="567" w:hanging="567"/>
        <w:jc w:val="both"/>
        <w:rPr>
          <w:sz w:val="22"/>
          <w:szCs w:val="22"/>
        </w:rPr>
      </w:pPr>
      <w:r>
        <w:rPr>
          <w:sz w:val="22"/>
          <w:szCs w:val="22"/>
        </w:rPr>
        <w:t>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9B51CB" w:rsidRDefault="009B51CB" w:rsidP="00E06A04">
      <w:pPr>
        <w:numPr>
          <w:ilvl w:val="1"/>
          <w:numId w:val="1"/>
        </w:numPr>
        <w:ind w:left="567" w:hanging="567"/>
        <w:jc w:val="both"/>
        <w:rPr>
          <w:sz w:val="22"/>
          <w:szCs w:val="22"/>
        </w:rPr>
      </w:pPr>
      <w:r>
        <w:rPr>
          <w:sz w:val="22"/>
          <w:szCs w:val="22"/>
        </w:rPr>
        <w:t xml:space="preserve">Направляющая Сторона, получившая документ либо УОУ, проверяет действительность сертификата КЭП и сохраняет их в системе </w:t>
      </w:r>
      <w:proofErr w:type="gramStart"/>
      <w:r>
        <w:rPr>
          <w:sz w:val="22"/>
          <w:szCs w:val="22"/>
        </w:rPr>
        <w:t>ПО</w:t>
      </w:r>
      <w:proofErr w:type="gramEnd"/>
      <w:r>
        <w:rPr>
          <w:sz w:val="22"/>
          <w:szCs w:val="22"/>
        </w:rPr>
        <w:t>.</w:t>
      </w:r>
    </w:p>
    <w:p w:rsidR="009B51CB" w:rsidRDefault="009B51CB" w:rsidP="00C22F7D">
      <w:pPr>
        <w:numPr>
          <w:ilvl w:val="0"/>
          <w:numId w:val="1"/>
        </w:numPr>
        <w:spacing w:before="120"/>
        <w:jc w:val="center"/>
        <w:rPr>
          <w:b/>
          <w:sz w:val="22"/>
          <w:szCs w:val="22"/>
        </w:rPr>
      </w:pPr>
      <w:r>
        <w:rPr>
          <w:b/>
          <w:sz w:val="22"/>
          <w:szCs w:val="22"/>
        </w:rPr>
        <w:t xml:space="preserve">Порядок направления </w:t>
      </w:r>
      <w:r w:rsidRPr="00C22F7D">
        <w:rPr>
          <w:b/>
          <w:sz w:val="22"/>
          <w:szCs w:val="22"/>
        </w:rPr>
        <w:t>иных документов в электронном виде</w:t>
      </w:r>
    </w:p>
    <w:p w:rsidR="009B51CB" w:rsidRDefault="009B51CB" w:rsidP="00E06A04">
      <w:pPr>
        <w:numPr>
          <w:ilvl w:val="1"/>
          <w:numId w:val="1"/>
        </w:numPr>
        <w:tabs>
          <w:tab w:val="left" w:pos="567"/>
        </w:tabs>
        <w:ind w:left="567" w:hanging="567"/>
        <w:jc w:val="both"/>
        <w:rPr>
          <w:sz w:val="22"/>
          <w:szCs w:val="22"/>
        </w:rPr>
      </w:pPr>
      <w:r>
        <w:rPr>
          <w:sz w:val="22"/>
          <w:szCs w:val="22"/>
        </w:rPr>
        <w:t>Направляющая Сторона формирует необходимый документ в электронном виде в системе программного обеспечения (ПО), подписывает его КЭП, и отправляет через Оператора Получающей Стороне.</w:t>
      </w:r>
    </w:p>
    <w:p w:rsidR="009B51CB" w:rsidRDefault="009B51CB" w:rsidP="00E06A04">
      <w:pPr>
        <w:numPr>
          <w:ilvl w:val="1"/>
          <w:numId w:val="1"/>
        </w:numPr>
        <w:tabs>
          <w:tab w:val="left" w:pos="567"/>
        </w:tabs>
        <w:ind w:left="567" w:hanging="567"/>
        <w:jc w:val="both"/>
        <w:rPr>
          <w:sz w:val="22"/>
          <w:szCs w:val="22"/>
        </w:rPr>
      </w:pPr>
      <w:r>
        <w:rPr>
          <w:sz w:val="22"/>
          <w:szCs w:val="22"/>
        </w:rPr>
        <w:t xml:space="preserve">Получающая Сторона при получении документа от Оператора проверяет действительность сертификата КЭП и сохраняет документ в системе </w:t>
      </w:r>
      <w:proofErr w:type="gramStart"/>
      <w:r>
        <w:rPr>
          <w:sz w:val="22"/>
          <w:szCs w:val="22"/>
        </w:rPr>
        <w:t>ПО</w:t>
      </w:r>
      <w:proofErr w:type="gramEnd"/>
      <w:r>
        <w:rPr>
          <w:sz w:val="22"/>
          <w:szCs w:val="22"/>
        </w:rPr>
        <w:t>.</w:t>
      </w:r>
    </w:p>
    <w:p w:rsidR="009B51CB" w:rsidRDefault="009B51CB" w:rsidP="00E06A04">
      <w:pPr>
        <w:numPr>
          <w:ilvl w:val="1"/>
          <w:numId w:val="1"/>
        </w:numPr>
        <w:tabs>
          <w:tab w:val="left" w:pos="567"/>
        </w:tabs>
        <w:ind w:left="567" w:hanging="567"/>
        <w:jc w:val="both"/>
        <w:rPr>
          <w:sz w:val="22"/>
          <w:szCs w:val="22"/>
        </w:rPr>
      </w:pPr>
      <w:r>
        <w:rPr>
          <w:sz w:val="22"/>
          <w:szCs w:val="22"/>
        </w:rPr>
        <w:t>В случае несогласия с содержанием документа Получающая Сторона должна в течение 3 (трех) рабочих дней с даты получения документа от Оператора сформировать уведомление об уточнении (УОУ), указав причину несогласия, подписать его КЭП и отправить Направляющей Стороне через Оператора.</w:t>
      </w:r>
    </w:p>
    <w:p w:rsidR="009B51CB" w:rsidRDefault="009B51CB" w:rsidP="00E06A04">
      <w:pPr>
        <w:numPr>
          <w:ilvl w:val="0"/>
          <w:numId w:val="1"/>
        </w:numPr>
        <w:spacing w:before="120"/>
        <w:ind w:left="567" w:hanging="567"/>
        <w:jc w:val="center"/>
        <w:rPr>
          <w:b/>
          <w:sz w:val="22"/>
          <w:szCs w:val="22"/>
        </w:rPr>
      </w:pPr>
      <w:r>
        <w:rPr>
          <w:b/>
          <w:sz w:val="22"/>
          <w:szCs w:val="22"/>
        </w:rPr>
        <w:t>Срок действия Соглашения</w:t>
      </w:r>
    </w:p>
    <w:p w:rsidR="009B51CB" w:rsidRDefault="009B51CB" w:rsidP="00E06A04">
      <w:pPr>
        <w:numPr>
          <w:ilvl w:val="1"/>
          <w:numId w:val="1"/>
        </w:numPr>
        <w:ind w:left="567" w:right="-31" w:hanging="567"/>
        <w:jc w:val="both"/>
        <w:rPr>
          <w:sz w:val="22"/>
          <w:szCs w:val="22"/>
        </w:rPr>
      </w:pPr>
      <w:r>
        <w:rPr>
          <w:sz w:val="22"/>
          <w:szCs w:val="22"/>
        </w:rPr>
        <w:t>Настоящее Соглашение вступает в силу с даты его подписания Сторонами. Соглашение заключено на неопределенный срок.</w:t>
      </w:r>
    </w:p>
    <w:p w:rsidR="009B51CB" w:rsidRDefault="009B51CB" w:rsidP="00E06A04">
      <w:pPr>
        <w:numPr>
          <w:ilvl w:val="0"/>
          <w:numId w:val="1"/>
        </w:numPr>
        <w:spacing w:before="120"/>
        <w:ind w:left="567" w:hanging="567"/>
        <w:jc w:val="center"/>
        <w:rPr>
          <w:b/>
          <w:sz w:val="22"/>
          <w:szCs w:val="22"/>
        </w:rPr>
      </w:pPr>
      <w:r>
        <w:rPr>
          <w:b/>
          <w:sz w:val="22"/>
          <w:szCs w:val="22"/>
        </w:rPr>
        <w:t>Прочие условия</w:t>
      </w:r>
    </w:p>
    <w:p w:rsidR="009B51CB" w:rsidRDefault="009B51CB" w:rsidP="00E06A04">
      <w:pPr>
        <w:numPr>
          <w:ilvl w:val="1"/>
          <w:numId w:val="3"/>
        </w:numPr>
        <w:ind w:left="567" w:right="-31" w:hanging="567"/>
        <w:jc w:val="both"/>
        <w:rPr>
          <w:sz w:val="22"/>
          <w:szCs w:val="22"/>
        </w:rPr>
      </w:pPr>
      <w:r>
        <w:rPr>
          <w:sz w:val="22"/>
          <w:szCs w:val="22"/>
        </w:rPr>
        <w:t>Настоящее Соглашение составлено в двух экземплярах, имеющих одинаковую юридическую силу, по одному для каждой из Сторон, является неотъемлемой частью Договоров.</w:t>
      </w:r>
    </w:p>
    <w:p w:rsidR="009B51CB" w:rsidRDefault="009B51CB" w:rsidP="00E06A04">
      <w:pPr>
        <w:numPr>
          <w:ilvl w:val="1"/>
          <w:numId w:val="3"/>
        </w:numPr>
        <w:ind w:left="567" w:right="-31" w:hanging="567"/>
        <w:jc w:val="both"/>
        <w:rPr>
          <w:sz w:val="22"/>
          <w:szCs w:val="22"/>
        </w:rPr>
      </w:pPr>
      <w:r>
        <w:rPr>
          <w:sz w:val="22"/>
          <w:szCs w:val="22"/>
        </w:rPr>
        <w:t>Во всем остальном, что не указано в настоящем Соглашении, Стороны руководствуются условиями Договоров и действующим законодательством РФ.</w:t>
      </w:r>
    </w:p>
    <w:p w:rsidR="00782AF2" w:rsidRPr="00164630" w:rsidRDefault="009B51CB" w:rsidP="00836AC7">
      <w:pPr>
        <w:numPr>
          <w:ilvl w:val="1"/>
          <w:numId w:val="3"/>
        </w:numPr>
        <w:ind w:left="567" w:right="-31" w:hanging="567"/>
        <w:jc w:val="both"/>
        <w:rPr>
          <w:sz w:val="22"/>
          <w:szCs w:val="22"/>
          <w:highlight w:val="yellow"/>
        </w:rPr>
      </w:pPr>
      <w:r w:rsidRPr="00164630">
        <w:rPr>
          <w:sz w:val="22"/>
          <w:szCs w:val="22"/>
          <w:highlight w:val="yellow"/>
        </w:rPr>
        <w:t>Все споры</w:t>
      </w:r>
      <w:r w:rsidR="00D86BC4" w:rsidRPr="00164630">
        <w:rPr>
          <w:sz w:val="22"/>
          <w:szCs w:val="22"/>
          <w:highlight w:val="yellow"/>
        </w:rPr>
        <w:t>,</w:t>
      </w:r>
      <w:r w:rsidRPr="00164630">
        <w:rPr>
          <w:sz w:val="22"/>
          <w:szCs w:val="22"/>
          <w:highlight w:val="yellow"/>
        </w:rPr>
        <w:t xml:space="preserve"> возникающие в рамка</w:t>
      </w:r>
      <w:r w:rsidR="00D86BC4">
        <w:rPr>
          <w:sz w:val="22"/>
          <w:szCs w:val="22"/>
          <w:highlight w:val="yellow"/>
        </w:rPr>
        <w:t>х</w:t>
      </w:r>
      <w:r w:rsidRPr="00164630">
        <w:rPr>
          <w:sz w:val="22"/>
          <w:szCs w:val="22"/>
          <w:highlight w:val="yellow"/>
        </w:rPr>
        <w:t xml:space="preserve"> настоящего соглашения, стороны  передают на рассмотрение </w:t>
      </w:r>
      <w:r w:rsidR="00836AC7" w:rsidRPr="00164630">
        <w:rPr>
          <w:sz w:val="22"/>
          <w:szCs w:val="22"/>
          <w:highlight w:val="yellow"/>
        </w:rPr>
        <w:t xml:space="preserve">по месту нахождения истца. </w:t>
      </w:r>
    </w:p>
    <w:p w:rsidR="009B51CB" w:rsidRPr="00164630" w:rsidRDefault="009B51CB" w:rsidP="00164630">
      <w:pPr>
        <w:numPr>
          <w:ilvl w:val="0"/>
          <w:numId w:val="1"/>
        </w:numPr>
        <w:spacing w:before="120"/>
        <w:ind w:left="567" w:hanging="567"/>
        <w:jc w:val="center"/>
        <w:rPr>
          <w:b/>
          <w:sz w:val="22"/>
          <w:szCs w:val="22"/>
        </w:rPr>
      </w:pPr>
      <w:r w:rsidRPr="00164630">
        <w:rPr>
          <w:b/>
          <w:sz w:val="22"/>
          <w:szCs w:val="22"/>
        </w:rPr>
        <w:t>Адреса и подписи Сторон</w:t>
      </w:r>
    </w:p>
    <w:p w:rsidR="009B51CB" w:rsidRDefault="009B51CB" w:rsidP="00E06A04">
      <w:pPr>
        <w:tabs>
          <w:tab w:val="left" w:pos="142"/>
        </w:tabs>
        <w:ind w:left="360" w:right="-31"/>
        <w:jc w:val="both"/>
        <w:rPr>
          <w:sz w:val="22"/>
          <w:szCs w:val="22"/>
        </w:rPr>
      </w:pPr>
    </w:p>
    <w:tbl>
      <w:tblPr>
        <w:tblW w:w="9371" w:type="dxa"/>
        <w:tblInd w:w="108" w:type="dxa"/>
        <w:tblLook w:val="00A0" w:firstRow="1" w:lastRow="0" w:firstColumn="1" w:lastColumn="0" w:noHBand="0" w:noVBand="0"/>
      </w:tblPr>
      <w:tblGrid>
        <w:gridCol w:w="4970"/>
        <w:gridCol w:w="4401"/>
      </w:tblGrid>
      <w:tr w:rsidR="009B51CB" w:rsidRPr="00B23DB5" w:rsidTr="00164630">
        <w:trPr>
          <w:trHeight w:val="236"/>
        </w:trPr>
        <w:tc>
          <w:tcPr>
            <w:tcW w:w="4970" w:type="dxa"/>
          </w:tcPr>
          <w:p w:rsidR="009B51CB" w:rsidRPr="00B23DB5" w:rsidRDefault="009B51CB" w:rsidP="00B23DB5">
            <w:pPr>
              <w:ind w:right="-31"/>
              <w:jc w:val="both"/>
              <w:rPr>
                <w:b/>
                <w:snapToGrid w:val="0"/>
                <w:sz w:val="22"/>
                <w:szCs w:val="22"/>
              </w:rPr>
            </w:pPr>
            <w:r w:rsidRPr="00B23DB5">
              <w:rPr>
                <w:b/>
                <w:snapToGrid w:val="0"/>
                <w:sz w:val="22"/>
                <w:szCs w:val="22"/>
              </w:rPr>
              <w:t xml:space="preserve">Сторона 1: </w:t>
            </w:r>
          </w:p>
        </w:tc>
        <w:tc>
          <w:tcPr>
            <w:tcW w:w="4401" w:type="dxa"/>
          </w:tcPr>
          <w:p w:rsidR="009B51CB" w:rsidRPr="00B23DB5" w:rsidRDefault="009B51CB">
            <w:pPr>
              <w:ind w:right="-31"/>
              <w:jc w:val="both"/>
              <w:rPr>
                <w:snapToGrid w:val="0"/>
                <w:sz w:val="22"/>
                <w:szCs w:val="22"/>
                <w:lang w:val="en-US"/>
              </w:rPr>
            </w:pPr>
            <w:r w:rsidRPr="00B23DB5">
              <w:rPr>
                <w:b/>
                <w:snapToGrid w:val="0"/>
                <w:sz w:val="22"/>
                <w:szCs w:val="22"/>
              </w:rPr>
              <w:t>Сторона 2:</w:t>
            </w:r>
          </w:p>
        </w:tc>
      </w:tr>
      <w:tr w:rsidR="009B51CB" w:rsidRPr="00B23DB5" w:rsidTr="00164630">
        <w:trPr>
          <w:trHeight w:val="809"/>
        </w:trPr>
        <w:tc>
          <w:tcPr>
            <w:tcW w:w="4970" w:type="dxa"/>
          </w:tcPr>
          <w:p w:rsidR="009B51CB" w:rsidRPr="00B23DB5" w:rsidRDefault="009B51CB">
            <w:pPr>
              <w:rPr>
                <w:b/>
                <w:snapToGrid w:val="0"/>
                <w:sz w:val="22"/>
                <w:szCs w:val="22"/>
              </w:rPr>
            </w:pPr>
          </w:p>
        </w:tc>
        <w:tc>
          <w:tcPr>
            <w:tcW w:w="4401" w:type="dxa"/>
          </w:tcPr>
          <w:p w:rsidR="00B23DB5" w:rsidRPr="00164630" w:rsidRDefault="00B23DB5" w:rsidP="00B23DB5">
            <w:pPr>
              <w:autoSpaceDE w:val="0"/>
              <w:autoSpaceDN w:val="0"/>
              <w:adjustRightInd w:val="0"/>
              <w:rPr>
                <w:rFonts w:eastAsia="Calibri"/>
                <w:b/>
                <w:bCs/>
                <w:sz w:val="22"/>
                <w:szCs w:val="22"/>
              </w:rPr>
            </w:pPr>
            <w:r w:rsidRPr="00164630">
              <w:rPr>
                <w:rFonts w:eastAsia="Calibri"/>
                <w:b/>
                <w:bCs/>
                <w:sz w:val="22"/>
                <w:szCs w:val="22"/>
              </w:rPr>
              <w:t>Предприятия Группы СИБУР</w:t>
            </w:r>
          </w:p>
          <w:p w:rsidR="009B51CB" w:rsidRPr="00B23DB5" w:rsidRDefault="009B51CB">
            <w:pPr>
              <w:ind w:right="-31"/>
              <w:jc w:val="both"/>
              <w:rPr>
                <w:snapToGrid w:val="0"/>
                <w:sz w:val="22"/>
                <w:szCs w:val="22"/>
              </w:rPr>
            </w:pPr>
          </w:p>
        </w:tc>
      </w:tr>
      <w:tr w:rsidR="00B23DB5" w:rsidRPr="00B23DB5" w:rsidTr="00164630">
        <w:trPr>
          <w:trHeight w:val="809"/>
        </w:trPr>
        <w:tc>
          <w:tcPr>
            <w:tcW w:w="4970" w:type="dxa"/>
          </w:tcPr>
          <w:p w:rsidR="00B23DB5" w:rsidRPr="00164630" w:rsidRDefault="00B23DB5" w:rsidP="00B23DB5">
            <w:pPr>
              <w:autoSpaceDE w:val="0"/>
              <w:autoSpaceDN w:val="0"/>
              <w:adjustRightInd w:val="0"/>
              <w:rPr>
                <w:rFonts w:eastAsia="Calibri"/>
                <w:b/>
                <w:bCs/>
                <w:sz w:val="22"/>
                <w:szCs w:val="22"/>
              </w:rPr>
            </w:pPr>
            <w:r w:rsidRPr="00164630">
              <w:rPr>
                <w:rFonts w:eastAsia="Calibri"/>
                <w:sz w:val="22"/>
                <w:szCs w:val="22"/>
              </w:rPr>
              <w:t xml:space="preserve">__________________ </w:t>
            </w:r>
          </w:p>
          <w:p w:rsidR="00B23DB5" w:rsidRPr="00164630" w:rsidRDefault="00B23DB5">
            <w:pPr>
              <w:autoSpaceDE w:val="0"/>
              <w:autoSpaceDN w:val="0"/>
              <w:adjustRightInd w:val="0"/>
              <w:rPr>
                <w:rFonts w:eastAsia="Calibri"/>
                <w:b/>
                <w:bCs/>
                <w:sz w:val="22"/>
                <w:szCs w:val="22"/>
              </w:rPr>
            </w:pPr>
            <w:r w:rsidRPr="00164630">
              <w:rPr>
                <w:rFonts w:eastAsia="Calibri"/>
                <w:sz w:val="18"/>
                <w:szCs w:val="18"/>
              </w:rPr>
              <w:t xml:space="preserve">на основании </w:t>
            </w:r>
          </w:p>
        </w:tc>
        <w:tc>
          <w:tcPr>
            <w:tcW w:w="4401" w:type="dxa"/>
          </w:tcPr>
          <w:p w:rsidR="00B23DB5" w:rsidRPr="00164630" w:rsidRDefault="00B23DB5" w:rsidP="00B23DB5">
            <w:pPr>
              <w:rPr>
                <w:b/>
                <w:noProof/>
                <w:sz w:val="22"/>
                <w:szCs w:val="22"/>
              </w:rPr>
            </w:pPr>
            <w:r w:rsidRPr="00164630">
              <w:rPr>
                <w:noProof/>
                <w:sz w:val="22"/>
                <w:szCs w:val="22"/>
              </w:rPr>
              <w:t xml:space="preserve">__________________   </w:t>
            </w:r>
            <w:r w:rsidRPr="00164630">
              <w:rPr>
                <w:b/>
                <w:noProof/>
                <w:sz w:val="22"/>
                <w:szCs w:val="22"/>
              </w:rPr>
              <w:t>Бурдин А.А.</w:t>
            </w:r>
          </w:p>
          <w:p w:rsidR="00B23DB5" w:rsidRPr="00164630" w:rsidRDefault="00B23DB5" w:rsidP="00164630">
            <w:pPr>
              <w:spacing w:line="360" w:lineRule="auto"/>
              <w:rPr>
                <w:rFonts w:eastAsia="Calibri"/>
                <w:b/>
                <w:bCs/>
                <w:sz w:val="22"/>
                <w:szCs w:val="22"/>
              </w:rPr>
            </w:pPr>
            <w:r w:rsidRPr="00164630">
              <w:rPr>
                <w:sz w:val="18"/>
                <w:szCs w:val="18"/>
              </w:rPr>
              <w:t>на основании Доверенности</w:t>
            </w:r>
            <w:r>
              <w:rPr>
                <w:sz w:val="18"/>
                <w:szCs w:val="18"/>
              </w:rPr>
              <w:t xml:space="preserve"> </w:t>
            </w:r>
            <w:r w:rsidRPr="00164630">
              <w:rPr>
                <w:sz w:val="18"/>
                <w:szCs w:val="18"/>
              </w:rPr>
              <w:t xml:space="preserve"> </w:t>
            </w:r>
          </w:p>
        </w:tc>
      </w:tr>
    </w:tbl>
    <w:p w:rsidR="009B51CB" w:rsidRDefault="009B51CB" w:rsidP="00E06A04">
      <w:pPr>
        <w:ind w:right="-31"/>
        <w:jc w:val="both"/>
        <w:rPr>
          <w:sz w:val="22"/>
          <w:szCs w:val="22"/>
        </w:rPr>
      </w:pPr>
    </w:p>
    <w:p w:rsidR="009B51CB" w:rsidRDefault="009B51CB"/>
    <w:p w:rsidR="00B23DB5" w:rsidRDefault="00B23DB5"/>
    <w:p w:rsidR="00B23DB5" w:rsidRDefault="00B23DB5"/>
    <w:p w:rsidR="00B23DB5" w:rsidRPr="003A3D90" w:rsidRDefault="00B23DB5">
      <w:pPr>
        <w:pageBreakBefore/>
        <w:jc w:val="right"/>
        <w:rPr>
          <w:b/>
        </w:rPr>
      </w:pPr>
      <w:r w:rsidRPr="00FA6986">
        <w:rPr>
          <w:b/>
        </w:rPr>
        <w:t xml:space="preserve">Приложение № </w:t>
      </w:r>
      <w:r w:rsidRPr="003A3D90">
        <w:rPr>
          <w:b/>
        </w:rPr>
        <w:t>1</w:t>
      </w:r>
    </w:p>
    <w:p w:rsidR="00B23DB5" w:rsidRDefault="00B23DB5" w:rsidP="00164630">
      <w:pPr>
        <w:pStyle w:val="a4"/>
        <w:jc w:val="right"/>
        <w:rPr>
          <w:sz w:val="22"/>
          <w:szCs w:val="22"/>
        </w:rPr>
      </w:pPr>
      <w:r w:rsidRPr="00FA6986">
        <w:t xml:space="preserve">к </w:t>
      </w:r>
      <w:r>
        <w:rPr>
          <w:sz w:val="22"/>
          <w:szCs w:val="22"/>
        </w:rPr>
        <w:t xml:space="preserve">Соглашению </w:t>
      </w:r>
      <w:r w:rsidRPr="00B23DB5">
        <w:rPr>
          <w:sz w:val="22"/>
          <w:szCs w:val="22"/>
        </w:rPr>
        <w:t>об электронном документообороте</w:t>
      </w:r>
      <w:r>
        <w:rPr>
          <w:sz w:val="22"/>
          <w:szCs w:val="22"/>
        </w:rPr>
        <w:t xml:space="preserve"> </w:t>
      </w:r>
    </w:p>
    <w:p w:rsidR="00B23DB5" w:rsidRDefault="00B23DB5" w:rsidP="00164630">
      <w:pPr>
        <w:pStyle w:val="a4"/>
        <w:jc w:val="right"/>
      </w:pPr>
      <w:r w:rsidRPr="00FA6986">
        <w:t>№ ________ от «»</w:t>
      </w:r>
      <w:r>
        <w:t xml:space="preserve"> </w:t>
      </w:r>
      <w:r w:rsidRPr="00FA6986">
        <w:t>20</w:t>
      </w:r>
      <w:r>
        <w:t>18</w:t>
      </w:r>
      <w:r w:rsidRPr="00FA6986">
        <w:t xml:space="preserve"> года</w:t>
      </w:r>
    </w:p>
    <w:p w:rsidR="00B23DB5" w:rsidRDefault="00B23DB5" w:rsidP="00B23DB5">
      <w:pPr>
        <w:jc w:val="center"/>
        <w:rPr>
          <w:b/>
          <w:bCs/>
        </w:rPr>
      </w:pPr>
    </w:p>
    <w:p w:rsidR="00B23DB5" w:rsidRDefault="00B23DB5" w:rsidP="00B23DB5">
      <w:pPr>
        <w:jc w:val="center"/>
      </w:pPr>
      <w:r w:rsidRPr="00A7569B">
        <w:rPr>
          <w:b/>
          <w:bCs/>
        </w:rPr>
        <w:t>Предприятия Группы</w:t>
      </w:r>
      <w:r>
        <w:rPr>
          <w:b/>
          <w:bCs/>
        </w:rPr>
        <w:t xml:space="preserve"> СИБУР</w:t>
      </w:r>
    </w:p>
    <w:p w:rsidR="00B23DB5" w:rsidRDefault="00B23DB5" w:rsidP="00B23DB5"/>
    <w:tbl>
      <w:tblPr>
        <w:tblW w:w="9305" w:type="dxa"/>
        <w:tblInd w:w="108" w:type="dxa"/>
        <w:tblLook w:val="04A0" w:firstRow="1" w:lastRow="0" w:firstColumn="1" w:lastColumn="0" w:noHBand="0" w:noVBand="1"/>
      </w:tblPr>
      <w:tblGrid>
        <w:gridCol w:w="5812"/>
        <w:gridCol w:w="3493"/>
      </w:tblGrid>
      <w:tr w:rsidR="00B23DB5" w:rsidRPr="00782AF2" w:rsidTr="00164630">
        <w:trPr>
          <w:trHeight w:val="60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
                <w:bCs/>
                <w:sz w:val="22"/>
                <w:szCs w:val="22"/>
              </w:rPr>
            </w:pPr>
            <w:r w:rsidRPr="00164630">
              <w:rPr>
                <w:b/>
                <w:bCs/>
                <w:sz w:val="22"/>
                <w:szCs w:val="22"/>
              </w:rPr>
              <w:t xml:space="preserve">Фирменное (полное) наименование Общества </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B23DB5" w:rsidRPr="00164630" w:rsidRDefault="00B23DB5" w:rsidP="00B23DB5">
            <w:pPr>
              <w:rPr>
                <w:b/>
                <w:bCs/>
                <w:sz w:val="22"/>
                <w:szCs w:val="22"/>
              </w:rPr>
            </w:pPr>
            <w:r w:rsidRPr="00164630">
              <w:rPr>
                <w:b/>
                <w:bCs/>
                <w:sz w:val="22"/>
                <w:szCs w:val="22"/>
              </w:rPr>
              <w:t>Фирменное (сокращенное) наименование Общества</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"БИАКСПЛЕН Т"</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"БИАКСПЛЕН Т"</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"БИАКСПЛЕН"</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"БИАКСПЛЕН"</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«Воронежский синтетический каучук»</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"ВОРОНЕЖСИНТЕЗКАУЧУК"</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"ПОЛИЭФ"</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"ПОЛИЭФ"</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"СИБУР Тобольск"</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"СИБУР Тобольск"</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w:t>
            </w:r>
            <w:proofErr w:type="spellStart"/>
            <w:r w:rsidRPr="00164630">
              <w:rPr>
                <w:bCs/>
                <w:sz w:val="22"/>
                <w:szCs w:val="22"/>
              </w:rPr>
              <w:t>Сибур</w:t>
            </w:r>
            <w:proofErr w:type="spellEnd"/>
            <w:r w:rsidRPr="00164630">
              <w:rPr>
                <w:bCs/>
                <w:sz w:val="22"/>
                <w:szCs w:val="22"/>
              </w:rPr>
              <w:t>-ПЭТФ"</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w:t>
            </w:r>
            <w:proofErr w:type="spellStart"/>
            <w:r w:rsidRPr="00164630">
              <w:rPr>
                <w:bCs/>
                <w:sz w:val="22"/>
                <w:szCs w:val="22"/>
              </w:rPr>
              <w:t>Сибур</w:t>
            </w:r>
            <w:proofErr w:type="spellEnd"/>
            <w:r w:rsidRPr="00164630">
              <w:rPr>
                <w:bCs/>
                <w:sz w:val="22"/>
                <w:szCs w:val="22"/>
              </w:rPr>
              <w:t>-ПЭТФ"</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"СИБУР-ХИМПРОМ"</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"СИБУР-ХИМПРОМ"</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w:t>
            </w:r>
            <w:proofErr w:type="spellStart"/>
            <w:r w:rsidRPr="00164630">
              <w:rPr>
                <w:bCs/>
                <w:sz w:val="22"/>
                <w:szCs w:val="22"/>
              </w:rPr>
              <w:t>Томскнефтехим</w:t>
            </w:r>
            <w:proofErr w:type="spellEnd"/>
            <w:r w:rsidRPr="00164630">
              <w:rPr>
                <w:bCs/>
                <w:sz w:val="22"/>
                <w:szCs w:val="22"/>
              </w:rPr>
              <w:t xml:space="preserve">» </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w:t>
            </w:r>
            <w:proofErr w:type="spellStart"/>
            <w:r w:rsidRPr="00164630">
              <w:rPr>
                <w:bCs/>
                <w:sz w:val="22"/>
                <w:szCs w:val="22"/>
              </w:rPr>
              <w:t>Томскнефтехим</w:t>
            </w:r>
            <w:proofErr w:type="spellEnd"/>
            <w:r w:rsidRPr="00164630">
              <w:rPr>
                <w:bCs/>
                <w:sz w:val="22"/>
                <w:szCs w:val="22"/>
              </w:rPr>
              <w:t>"</w:t>
            </w:r>
          </w:p>
        </w:tc>
      </w:tr>
      <w:tr w:rsidR="00B23DB5" w:rsidRPr="00782AF2" w:rsidTr="00164630">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"Южно-Приобский газоперерабатывающий завод"</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"Южно-Приобский ГПЗ"</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"СИБУР Тольятти"</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"СИБУР Тольятти"</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 xml:space="preserve">Общество с ограниченной ответственностью «СИБУР-Кстово» </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"СИБУР-Кстово"</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w:t>
            </w:r>
            <w:proofErr w:type="spellStart"/>
            <w:r w:rsidRPr="00164630">
              <w:rPr>
                <w:bCs/>
                <w:sz w:val="22"/>
                <w:szCs w:val="22"/>
              </w:rPr>
              <w:t>Сибур-Нефтехим</w:t>
            </w:r>
            <w:proofErr w:type="spellEnd"/>
            <w:r w:rsidRPr="00164630">
              <w:rPr>
                <w:bCs/>
                <w:sz w:val="22"/>
                <w:szCs w:val="22"/>
              </w:rPr>
              <w:t>"</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"СИБУР-</w:t>
            </w:r>
            <w:proofErr w:type="spellStart"/>
            <w:r w:rsidRPr="00164630">
              <w:rPr>
                <w:bCs/>
                <w:sz w:val="22"/>
                <w:szCs w:val="22"/>
              </w:rPr>
              <w:t>Нефтехим</w:t>
            </w:r>
            <w:proofErr w:type="spellEnd"/>
            <w:r w:rsidRPr="00164630">
              <w:rPr>
                <w:bCs/>
                <w:sz w:val="22"/>
                <w:szCs w:val="22"/>
              </w:rPr>
              <w:t>"</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w:t>
            </w:r>
            <w:proofErr w:type="spellStart"/>
            <w:r w:rsidRPr="00164630">
              <w:rPr>
                <w:bCs/>
                <w:sz w:val="22"/>
                <w:szCs w:val="22"/>
              </w:rPr>
              <w:t>Тольяттисинтез</w:t>
            </w:r>
            <w:proofErr w:type="spellEnd"/>
            <w:r w:rsidRPr="00164630">
              <w:rPr>
                <w:bCs/>
                <w:sz w:val="22"/>
                <w:szCs w:val="22"/>
              </w:rPr>
              <w:t>"</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w:t>
            </w:r>
            <w:proofErr w:type="spellStart"/>
            <w:r w:rsidRPr="00164630">
              <w:rPr>
                <w:bCs/>
                <w:sz w:val="22"/>
                <w:szCs w:val="22"/>
              </w:rPr>
              <w:t>Тольяттисинтез</w:t>
            </w:r>
            <w:proofErr w:type="spellEnd"/>
            <w:r w:rsidRPr="00164630">
              <w:rPr>
                <w:bCs/>
                <w:sz w:val="22"/>
                <w:szCs w:val="22"/>
              </w:rPr>
              <w:t>"</w:t>
            </w:r>
          </w:p>
        </w:tc>
      </w:tr>
      <w:tr w:rsidR="00B23DB5" w:rsidRPr="00782AF2" w:rsidTr="00164630">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w:t>
            </w:r>
            <w:proofErr w:type="spellStart"/>
            <w:r w:rsidRPr="00164630">
              <w:rPr>
                <w:bCs/>
                <w:sz w:val="22"/>
                <w:szCs w:val="22"/>
              </w:rPr>
              <w:t>СибурТюменьГаз</w:t>
            </w:r>
            <w:proofErr w:type="spellEnd"/>
            <w:r w:rsidRPr="00164630">
              <w:rPr>
                <w:bCs/>
                <w:sz w:val="22"/>
                <w:szCs w:val="22"/>
              </w:rPr>
              <w:t>"</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w:t>
            </w:r>
            <w:proofErr w:type="spellStart"/>
            <w:r w:rsidRPr="00164630">
              <w:rPr>
                <w:bCs/>
                <w:sz w:val="22"/>
                <w:szCs w:val="22"/>
              </w:rPr>
              <w:t>СибурТюменьГаз</w:t>
            </w:r>
            <w:proofErr w:type="spellEnd"/>
            <w:r w:rsidRPr="00164630">
              <w:rPr>
                <w:bCs/>
                <w:sz w:val="22"/>
                <w:szCs w:val="22"/>
              </w:rPr>
              <w:t>"</w:t>
            </w:r>
          </w:p>
        </w:tc>
      </w:tr>
      <w:tr w:rsidR="00B23DB5" w:rsidRPr="00782AF2" w:rsidTr="00164630">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w:t>
            </w:r>
            <w:proofErr w:type="spellStart"/>
            <w:r w:rsidRPr="00164630">
              <w:rPr>
                <w:bCs/>
                <w:sz w:val="22"/>
                <w:szCs w:val="22"/>
              </w:rPr>
              <w:t>Запсибтрансгаз</w:t>
            </w:r>
            <w:proofErr w:type="spellEnd"/>
            <w:r w:rsidRPr="00164630">
              <w:rPr>
                <w:bCs/>
                <w:sz w:val="22"/>
                <w:szCs w:val="22"/>
              </w:rPr>
              <w:t>"</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w:t>
            </w:r>
            <w:proofErr w:type="spellStart"/>
            <w:r w:rsidRPr="00164630">
              <w:rPr>
                <w:bCs/>
                <w:sz w:val="22"/>
                <w:szCs w:val="22"/>
              </w:rPr>
              <w:t>Запсибтрансгаз</w:t>
            </w:r>
            <w:proofErr w:type="spellEnd"/>
            <w:r w:rsidRPr="00164630">
              <w:rPr>
                <w:bCs/>
                <w:sz w:val="22"/>
                <w:szCs w:val="22"/>
              </w:rPr>
              <w:t>"</w:t>
            </w:r>
          </w:p>
        </w:tc>
      </w:tr>
      <w:tr w:rsidR="00B23DB5" w:rsidRPr="00782AF2" w:rsidTr="00164630">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Общество с ограниченной ответственностью "Западно-Сибирский Нефтехимический Комбинат"</w:t>
            </w:r>
          </w:p>
        </w:tc>
        <w:tc>
          <w:tcPr>
            <w:tcW w:w="3493" w:type="dxa"/>
            <w:tcBorders>
              <w:top w:val="nil"/>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ООО "</w:t>
            </w:r>
            <w:proofErr w:type="spellStart"/>
            <w:r w:rsidRPr="00164630">
              <w:rPr>
                <w:bCs/>
                <w:sz w:val="22"/>
                <w:szCs w:val="22"/>
              </w:rPr>
              <w:t>ЗапСибНефтехим</w:t>
            </w:r>
            <w:proofErr w:type="spellEnd"/>
            <w:r w:rsidRPr="00164630">
              <w:rPr>
                <w:bCs/>
                <w:sz w:val="22"/>
                <w:szCs w:val="22"/>
              </w:rPr>
              <w:t>"</w:t>
            </w:r>
          </w:p>
        </w:tc>
      </w:tr>
      <w:tr w:rsidR="00B23DB5" w:rsidRPr="00782AF2" w:rsidTr="00164630">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DB5" w:rsidRPr="00164630" w:rsidRDefault="00B23DB5" w:rsidP="00B23DB5">
            <w:pPr>
              <w:rPr>
                <w:bCs/>
                <w:sz w:val="22"/>
                <w:szCs w:val="22"/>
              </w:rPr>
            </w:pPr>
            <w:r w:rsidRPr="00164630">
              <w:rPr>
                <w:bCs/>
                <w:sz w:val="22"/>
                <w:szCs w:val="22"/>
              </w:rPr>
              <w:t>Акционерное общество  «СИБУР-Транс»</w:t>
            </w:r>
          </w:p>
        </w:tc>
        <w:tc>
          <w:tcPr>
            <w:tcW w:w="3493" w:type="dxa"/>
            <w:tcBorders>
              <w:top w:val="single" w:sz="4" w:space="0" w:color="auto"/>
              <w:left w:val="nil"/>
              <w:bottom w:val="single" w:sz="4" w:space="0" w:color="auto"/>
              <w:right w:val="single" w:sz="4" w:space="0" w:color="auto"/>
            </w:tcBorders>
            <w:shd w:val="clear" w:color="auto" w:fill="auto"/>
            <w:noWrap/>
            <w:vAlign w:val="center"/>
            <w:hideMark/>
          </w:tcPr>
          <w:p w:rsidR="00B23DB5" w:rsidRPr="00164630" w:rsidRDefault="00B23DB5" w:rsidP="00B23DB5">
            <w:pPr>
              <w:rPr>
                <w:bCs/>
                <w:sz w:val="22"/>
                <w:szCs w:val="22"/>
              </w:rPr>
            </w:pPr>
            <w:r w:rsidRPr="00164630">
              <w:rPr>
                <w:bCs/>
                <w:sz w:val="22"/>
                <w:szCs w:val="22"/>
              </w:rPr>
              <w:t>АО «СИБУР-Транс»</w:t>
            </w:r>
          </w:p>
        </w:tc>
      </w:tr>
    </w:tbl>
    <w:p w:rsidR="00B23DB5" w:rsidRPr="00B53C83" w:rsidRDefault="00B23DB5" w:rsidP="00B23DB5">
      <w:pPr>
        <w:rPr>
          <w:b/>
          <w:bCs/>
        </w:rPr>
      </w:pPr>
    </w:p>
    <w:p w:rsidR="00B23DB5" w:rsidRDefault="00B23DB5" w:rsidP="00B23DB5"/>
    <w:tbl>
      <w:tblPr>
        <w:tblW w:w="9371" w:type="dxa"/>
        <w:tblInd w:w="108" w:type="dxa"/>
        <w:tblLook w:val="00A0" w:firstRow="1" w:lastRow="0" w:firstColumn="1" w:lastColumn="0" w:noHBand="0" w:noVBand="0"/>
      </w:tblPr>
      <w:tblGrid>
        <w:gridCol w:w="4970"/>
        <w:gridCol w:w="4401"/>
      </w:tblGrid>
      <w:tr w:rsidR="00B23DB5" w:rsidRPr="00994410" w:rsidTr="00B23DB5">
        <w:trPr>
          <w:trHeight w:val="236"/>
        </w:trPr>
        <w:tc>
          <w:tcPr>
            <w:tcW w:w="4970" w:type="dxa"/>
          </w:tcPr>
          <w:p w:rsidR="00B23DB5" w:rsidRPr="00994410" w:rsidRDefault="00B23DB5" w:rsidP="00B23DB5">
            <w:pPr>
              <w:ind w:right="-31"/>
              <w:jc w:val="both"/>
              <w:rPr>
                <w:b/>
                <w:snapToGrid w:val="0"/>
                <w:sz w:val="22"/>
                <w:szCs w:val="22"/>
              </w:rPr>
            </w:pPr>
            <w:r w:rsidRPr="00B23DB5">
              <w:rPr>
                <w:b/>
                <w:snapToGrid w:val="0"/>
                <w:sz w:val="22"/>
                <w:szCs w:val="22"/>
              </w:rPr>
              <w:t xml:space="preserve">Сторона 1: </w:t>
            </w:r>
          </w:p>
        </w:tc>
        <w:tc>
          <w:tcPr>
            <w:tcW w:w="4401" w:type="dxa"/>
          </w:tcPr>
          <w:p w:rsidR="00B23DB5" w:rsidRPr="00994410" w:rsidRDefault="00B23DB5" w:rsidP="00B23DB5">
            <w:pPr>
              <w:ind w:right="-31"/>
              <w:jc w:val="both"/>
              <w:rPr>
                <w:snapToGrid w:val="0"/>
                <w:sz w:val="22"/>
                <w:szCs w:val="22"/>
                <w:lang w:val="en-US"/>
              </w:rPr>
            </w:pPr>
            <w:r w:rsidRPr="00994410">
              <w:rPr>
                <w:b/>
                <w:snapToGrid w:val="0"/>
                <w:sz w:val="22"/>
                <w:szCs w:val="22"/>
              </w:rPr>
              <w:t>Сторона 2:</w:t>
            </w:r>
          </w:p>
        </w:tc>
      </w:tr>
      <w:tr w:rsidR="00B23DB5" w:rsidRPr="00994410" w:rsidTr="00B23DB5">
        <w:trPr>
          <w:trHeight w:val="809"/>
        </w:trPr>
        <w:tc>
          <w:tcPr>
            <w:tcW w:w="4970" w:type="dxa"/>
          </w:tcPr>
          <w:p w:rsidR="00B23DB5" w:rsidRPr="00994410" w:rsidRDefault="00B23DB5" w:rsidP="00164630">
            <w:pPr>
              <w:autoSpaceDE w:val="0"/>
              <w:autoSpaceDN w:val="0"/>
              <w:adjustRightInd w:val="0"/>
              <w:rPr>
                <w:b/>
                <w:snapToGrid w:val="0"/>
                <w:sz w:val="22"/>
                <w:szCs w:val="22"/>
              </w:rPr>
            </w:pPr>
          </w:p>
        </w:tc>
        <w:tc>
          <w:tcPr>
            <w:tcW w:w="4401" w:type="dxa"/>
          </w:tcPr>
          <w:p w:rsidR="00B23DB5" w:rsidRPr="00994410" w:rsidRDefault="00B23DB5" w:rsidP="00B23DB5">
            <w:pPr>
              <w:autoSpaceDE w:val="0"/>
              <w:autoSpaceDN w:val="0"/>
              <w:adjustRightInd w:val="0"/>
              <w:rPr>
                <w:rFonts w:eastAsia="Calibri"/>
                <w:b/>
                <w:bCs/>
                <w:sz w:val="22"/>
                <w:szCs w:val="22"/>
              </w:rPr>
            </w:pPr>
            <w:r w:rsidRPr="00994410">
              <w:rPr>
                <w:rFonts w:eastAsia="Calibri"/>
                <w:b/>
                <w:bCs/>
                <w:sz w:val="22"/>
                <w:szCs w:val="22"/>
              </w:rPr>
              <w:t>Предприятия Группы СИБУР</w:t>
            </w:r>
          </w:p>
          <w:p w:rsidR="00B23DB5" w:rsidRPr="00994410" w:rsidRDefault="00B23DB5" w:rsidP="00B23DB5">
            <w:pPr>
              <w:ind w:right="-31"/>
              <w:jc w:val="both"/>
              <w:rPr>
                <w:snapToGrid w:val="0"/>
                <w:sz w:val="22"/>
                <w:szCs w:val="22"/>
              </w:rPr>
            </w:pPr>
          </w:p>
        </w:tc>
      </w:tr>
      <w:tr w:rsidR="00B23DB5" w:rsidRPr="00994410" w:rsidTr="00B23DB5">
        <w:trPr>
          <w:trHeight w:val="809"/>
        </w:trPr>
        <w:tc>
          <w:tcPr>
            <w:tcW w:w="4970" w:type="dxa"/>
          </w:tcPr>
          <w:p w:rsidR="00B23DB5" w:rsidRPr="00994410" w:rsidRDefault="00B23DB5" w:rsidP="00B23DB5">
            <w:pPr>
              <w:autoSpaceDE w:val="0"/>
              <w:autoSpaceDN w:val="0"/>
              <w:adjustRightInd w:val="0"/>
              <w:rPr>
                <w:rFonts w:eastAsia="Calibri"/>
                <w:b/>
                <w:bCs/>
                <w:sz w:val="22"/>
                <w:szCs w:val="22"/>
              </w:rPr>
            </w:pPr>
            <w:r w:rsidRPr="00994410">
              <w:rPr>
                <w:rFonts w:eastAsia="Calibri"/>
                <w:sz w:val="22"/>
                <w:szCs w:val="22"/>
              </w:rPr>
              <w:t xml:space="preserve">__________________ </w:t>
            </w:r>
          </w:p>
          <w:p w:rsidR="00B23DB5" w:rsidRPr="00994410" w:rsidRDefault="00B23DB5">
            <w:pPr>
              <w:autoSpaceDE w:val="0"/>
              <w:autoSpaceDN w:val="0"/>
              <w:adjustRightInd w:val="0"/>
              <w:rPr>
                <w:rFonts w:eastAsia="Calibri"/>
                <w:b/>
                <w:bCs/>
                <w:sz w:val="22"/>
                <w:szCs w:val="22"/>
              </w:rPr>
            </w:pPr>
            <w:r w:rsidRPr="00994410">
              <w:rPr>
                <w:rFonts w:eastAsia="Calibri"/>
                <w:sz w:val="18"/>
                <w:szCs w:val="18"/>
              </w:rPr>
              <w:t xml:space="preserve">на основании </w:t>
            </w:r>
          </w:p>
        </w:tc>
        <w:tc>
          <w:tcPr>
            <w:tcW w:w="4401" w:type="dxa"/>
          </w:tcPr>
          <w:p w:rsidR="00B23DB5" w:rsidRPr="00994410" w:rsidRDefault="00B23DB5" w:rsidP="00B23DB5">
            <w:pPr>
              <w:rPr>
                <w:b/>
                <w:noProof/>
                <w:sz w:val="22"/>
                <w:szCs w:val="22"/>
              </w:rPr>
            </w:pPr>
            <w:r w:rsidRPr="00994410">
              <w:rPr>
                <w:noProof/>
                <w:sz w:val="22"/>
                <w:szCs w:val="22"/>
              </w:rPr>
              <w:t xml:space="preserve">__________________   </w:t>
            </w:r>
            <w:r w:rsidRPr="00994410">
              <w:rPr>
                <w:b/>
                <w:noProof/>
                <w:sz w:val="22"/>
                <w:szCs w:val="22"/>
              </w:rPr>
              <w:t>Бурдин А.А.</w:t>
            </w:r>
          </w:p>
          <w:p w:rsidR="00B23DB5" w:rsidRPr="00994410" w:rsidRDefault="00B23DB5">
            <w:pPr>
              <w:spacing w:line="360" w:lineRule="auto"/>
              <w:rPr>
                <w:rFonts w:eastAsia="Calibri"/>
                <w:b/>
                <w:bCs/>
                <w:sz w:val="22"/>
                <w:szCs w:val="22"/>
              </w:rPr>
            </w:pPr>
            <w:r w:rsidRPr="00994410">
              <w:rPr>
                <w:sz w:val="18"/>
                <w:szCs w:val="18"/>
              </w:rPr>
              <w:t>на основании Доверенности</w:t>
            </w:r>
            <w:r>
              <w:rPr>
                <w:sz w:val="18"/>
                <w:szCs w:val="18"/>
              </w:rPr>
              <w:t xml:space="preserve"> </w:t>
            </w:r>
            <w:r w:rsidRPr="00994410">
              <w:rPr>
                <w:sz w:val="18"/>
                <w:szCs w:val="18"/>
              </w:rPr>
              <w:t xml:space="preserve"> </w:t>
            </w:r>
          </w:p>
        </w:tc>
      </w:tr>
    </w:tbl>
    <w:p w:rsidR="00B23DB5" w:rsidRDefault="00B23DB5"/>
    <w:sectPr w:rsidR="00B23DB5" w:rsidSect="004766E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B5" w:rsidRDefault="00B23DB5" w:rsidP="005D03FD">
      <w:r>
        <w:separator/>
      </w:r>
    </w:p>
  </w:endnote>
  <w:endnote w:type="continuationSeparator" w:id="0">
    <w:p w:rsidR="00B23DB5" w:rsidRDefault="00B23DB5" w:rsidP="005D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B5" w:rsidRDefault="00B23DB5" w:rsidP="005D03FD">
      <w:r>
        <w:separator/>
      </w:r>
    </w:p>
  </w:footnote>
  <w:footnote w:type="continuationSeparator" w:id="0">
    <w:p w:rsidR="00B23DB5" w:rsidRDefault="00B23DB5" w:rsidP="005D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7C" w:rsidRDefault="0041067C" w:rsidP="001646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3F53"/>
    <w:multiLevelType w:val="multilevel"/>
    <w:tmpl w:val="216EE990"/>
    <w:lvl w:ilvl="0">
      <w:start w:val="1"/>
      <w:numFmt w:val="decimal"/>
      <w:lvlText w:val="%1."/>
      <w:lvlJc w:val="left"/>
      <w:pPr>
        <w:ind w:left="390" w:hanging="39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
    <w:nsid w:val="59B243C0"/>
    <w:multiLevelType w:val="multilevel"/>
    <w:tmpl w:val="9C72354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7654155"/>
    <w:multiLevelType w:val="multilevel"/>
    <w:tmpl w:val="5B9AB12A"/>
    <w:lvl w:ilvl="0">
      <w:start w:val="8"/>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3">
    <w:nsid w:val="7EFB3FAA"/>
    <w:multiLevelType w:val="multilevel"/>
    <w:tmpl w:val="2BC69AFC"/>
    <w:lvl w:ilvl="0">
      <w:start w:val="3"/>
      <w:numFmt w:val="decimal"/>
      <w:lvlText w:val="%1."/>
      <w:lvlJc w:val="left"/>
      <w:pPr>
        <w:ind w:left="360" w:hanging="360"/>
      </w:pPr>
      <w:rPr>
        <w:rFonts w:cs="Times New Roman"/>
      </w:rPr>
    </w:lvl>
    <w:lvl w:ilvl="1">
      <w:start w:val="1"/>
      <w:numFmt w:val="decimal"/>
      <w:lvlText w:val="%1.%2."/>
      <w:lvlJc w:val="left"/>
      <w:pPr>
        <w:ind w:left="1800" w:hanging="36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95"/>
    <w:rsid w:val="00143187"/>
    <w:rsid w:val="00164630"/>
    <w:rsid w:val="001E7D0B"/>
    <w:rsid w:val="002463FE"/>
    <w:rsid w:val="0029349F"/>
    <w:rsid w:val="002F18D7"/>
    <w:rsid w:val="003F2B64"/>
    <w:rsid w:val="0041067C"/>
    <w:rsid w:val="00421B13"/>
    <w:rsid w:val="004766E8"/>
    <w:rsid w:val="005D03FD"/>
    <w:rsid w:val="0066593D"/>
    <w:rsid w:val="0068064C"/>
    <w:rsid w:val="00725D3D"/>
    <w:rsid w:val="00782AF2"/>
    <w:rsid w:val="00836AC7"/>
    <w:rsid w:val="00881BA8"/>
    <w:rsid w:val="008D31D2"/>
    <w:rsid w:val="008E5ADC"/>
    <w:rsid w:val="009325FF"/>
    <w:rsid w:val="00937C34"/>
    <w:rsid w:val="009B51CB"/>
    <w:rsid w:val="00A30C95"/>
    <w:rsid w:val="00AB2314"/>
    <w:rsid w:val="00AC44F7"/>
    <w:rsid w:val="00AE1373"/>
    <w:rsid w:val="00B23DB5"/>
    <w:rsid w:val="00BC61A2"/>
    <w:rsid w:val="00BE0DF6"/>
    <w:rsid w:val="00C22F7D"/>
    <w:rsid w:val="00C419F5"/>
    <w:rsid w:val="00D86BC4"/>
    <w:rsid w:val="00DA2E16"/>
    <w:rsid w:val="00E06A04"/>
    <w:rsid w:val="00E5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0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06A04"/>
    <w:rPr>
      <w:rFonts w:cs="Times New Roman"/>
      <w:color w:val="0000FF"/>
      <w:u w:val="single"/>
    </w:rPr>
  </w:style>
  <w:style w:type="paragraph" w:styleId="a4">
    <w:name w:val="Title"/>
    <w:basedOn w:val="a"/>
    <w:link w:val="a5"/>
    <w:uiPriority w:val="99"/>
    <w:qFormat/>
    <w:rsid w:val="00E06A04"/>
    <w:pPr>
      <w:jc w:val="center"/>
    </w:pPr>
    <w:rPr>
      <w:b/>
      <w:sz w:val="24"/>
    </w:rPr>
  </w:style>
  <w:style w:type="character" w:customStyle="1" w:styleId="a5">
    <w:name w:val="Название Знак"/>
    <w:basedOn w:val="a0"/>
    <w:link w:val="a4"/>
    <w:uiPriority w:val="99"/>
    <w:locked/>
    <w:rsid w:val="00E06A04"/>
    <w:rPr>
      <w:rFonts w:ascii="Times New Roman" w:hAnsi="Times New Roman" w:cs="Times New Roman"/>
      <w:b/>
      <w:sz w:val="20"/>
      <w:szCs w:val="20"/>
      <w:lang w:eastAsia="ru-RU"/>
    </w:rPr>
  </w:style>
  <w:style w:type="paragraph" w:styleId="a6">
    <w:name w:val="List Paragraph"/>
    <w:basedOn w:val="a"/>
    <w:uiPriority w:val="99"/>
    <w:qFormat/>
    <w:rsid w:val="00E06A04"/>
    <w:pPr>
      <w:ind w:left="708"/>
    </w:pPr>
  </w:style>
  <w:style w:type="paragraph" w:customStyle="1" w:styleId="ConsPlusNormal">
    <w:name w:val="ConsPlusNormal"/>
    <w:uiPriority w:val="99"/>
    <w:rsid w:val="00E06A04"/>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uiPriority w:val="99"/>
    <w:semiHidden/>
    <w:rsid w:val="00E06A04"/>
    <w:rPr>
      <w:rFonts w:ascii="Tahoma" w:hAnsi="Tahoma" w:cs="Tahoma"/>
      <w:sz w:val="16"/>
      <w:szCs w:val="16"/>
    </w:rPr>
  </w:style>
  <w:style w:type="character" w:customStyle="1" w:styleId="a8">
    <w:name w:val="Текст выноски Знак"/>
    <w:basedOn w:val="a0"/>
    <w:link w:val="a7"/>
    <w:uiPriority w:val="99"/>
    <w:semiHidden/>
    <w:locked/>
    <w:rsid w:val="00E06A04"/>
    <w:rPr>
      <w:rFonts w:ascii="Tahoma" w:hAnsi="Tahoma" w:cs="Tahoma"/>
      <w:sz w:val="16"/>
      <w:szCs w:val="16"/>
      <w:lang w:eastAsia="ru-RU"/>
    </w:rPr>
  </w:style>
  <w:style w:type="paragraph" w:styleId="a9">
    <w:name w:val="header"/>
    <w:basedOn w:val="a"/>
    <w:link w:val="aa"/>
    <w:uiPriority w:val="99"/>
    <w:rsid w:val="005D03FD"/>
    <w:pPr>
      <w:tabs>
        <w:tab w:val="center" w:pos="4677"/>
        <w:tab w:val="right" w:pos="9355"/>
      </w:tabs>
    </w:pPr>
  </w:style>
  <w:style w:type="character" w:customStyle="1" w:styleId="aa">
    <w:name w:val="Верхний колонтитул Знак"/>
    <w:basedOn w:val="a0"/>
    <w:link w:val="a9"/>
    <w:uiPriority w:val="99"/>
    <w:locked/>
    <w:rsid w:val="005D03FD"/>
    <w:rPr>
      <w:rFonts w:ascii="Times New Roman" w:hAnsi="Times New Roman" w:cs="Times New Roman"/>
      <w:sz w:val="20"/>
      <w:szCs w:val="20"/>
      <w:lang w:eastAsia="ru-RU"/>
    </w:rPr>
  </w:style>
  <w:style w:type="paragraph" w:styleId="ab">
    <w:name w:val="footer"/>
    <w:basedOn w:val="a"/>
    <w:link w:val="ac"/>
    <w:uiPriority w:val="99"/>
    <w:rsid w:val="005D03FD"/>
    <w:pPr>
      <w:tabs>
        <w:tab w:val="center" w:pos="4677"/>
        <w:tab w:val="right" w:pos="9355"/>
      </w:tabs>
    </w:pPr>
  </w:style>
  <w:style w:type="character" w:customStyle="1" w:styleId="ac">
    <w:name w:val="Нижний колонтитул Знак"/>
    <w:basedOn w:val="a0"/>
    <w:link w:val="ab"/>
    <w:uiPriority w:val="99"/>
    <w:locked/>
    <w:rsid w:val="005D03FD"/>
    <w:rPr>
      <w:rFonts w:ascii="Times New Roman" w:hAnsi="Times New Roman" w:cs="Times New Roman"/>
      <w:sz w:val="20"/>
      <w:szCs w:val="20"/>
      <w:lang w:eastAsia="ru-RU"/>
    </w:rPr>
  </w:style>
  <w:style w:type="character" w:styleId="ad">
    <w:name w:val="annotation reference"/>
    <w:basedOn w:val="a0"/>
    <w:uiPriority w:val="99"/>
    <w:semiHidden/>
    <w:unhideWhenUsed/>
    <w:rsid w:val="0029349F"/>
    <w:rPr>
      <w:sz w:val="16"/>
      <w:szCs w:val="16"/>
    </w:rPr>
  </w:style>
  <w:style w:type="paragraph" w:styleId="ae">
    <w:name w:val="annotation text"/>
    <w:basedOn w:val="a"/>
    <w:link w:val="af"/>
    <w:uiPriority w:val="99"/>
    <w:semiHidden/>
    <w:unhideWhenUsed/>
    <w:rsid w:val="0029349F"/>
  </w:style>
  <w:style w:type="character" w:customStyle="1" w:styleId="af">
    <w:name w:val="Текст примечания Знак"/>
    <w:basedOn w:val="a0"/>
    <w:link w:val="ae"/>
    <w:uiPriority w:val="99"/>
    <w:semiHidden/>
    <w:rsid w:val="0029349F"/>
    <w:rPr>
      <w:rFonts w:ascii="Times New Roman" w:eastAsia="Times New Roman" w:hAnsi="Times New Roman"/>
      <w:sz w:val="20"/>
      <w:szCs w:val="20"/>
    </w:rPr>
  </w:style>
  <w:style w:type="paragraph" w:styleId="af0">
    <w:name w:val="annotation subject"/>
    <w:basedOn w:val="ae"/>
    <w:next w:val="ae"/>
    <w:link w:val="af1"/>
    <w:uiPriority w:val="99"/>
    <w:semiHidden/>
    <w:unhideWhenUsed/>
    <w:rsid w:val="0029349F"/>
    <w:rPr>
      <w:b/>
      <w:bCs/>
    </w:rPr>
  </w:style>
  <w:style w:type="character" w:customStyle="1" w:styleId="af1">
    <w:name w:val="Тема примечания Знак"/>
    <w:basedOn w:val="af"/>
    <w:link w:val="af0"/>
    <w:uiPriority w:val="99"/>
    <w:semiHidden/>
    <w:rsid w:val="0029349F"/>
    <w:rPr>
      <w:rFonts w:ascii="Times New Roman" w:eastAsia="Times New Roman" w:hAnsi="Times New Roman"/>
      <w:b/>
      <w:bCs/>
      <w:sz w:val="20"/>
      <w:szCs w:val="20"/>
    </w:rPr>
  </w:style>
  <w:style w:type="paragraph" w:styleId="af2">
    <w:name w:val="Revision"/>
    <w:hidden/>
    <w:uiPriority w:val="99"/>
    <w:semiHidden/>
    <w:rsid w:val="0041067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0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06A04"/>
    <w:rPr>
      <w:rFonts w:cs="Times New Roman"/>
      <w:color w:val="0000FF"/>
      <w:u w:val="single"/>
    </w:rPr>
  </w:style>
  <w:style w:type="paragraph" w:styleId="a4">
    <w:name w:val="Title"/>
    <w:basedOn w:val="a"/>
    <w:link w:val="a5"/>
    <w:uiPriority w:val="99"/>
    <w:qFormat/>
    <w:rsid w:val="00E06A04"/>
    <w:pPr>
      <w:jc w:val="center"/>
    </w:pPr>
    <w:rPr>
      <w:b/>
      <w:sz w:val="24"/>
    </w:rPr>
  </w:style>
  <w:style w:type="character" w:customStyle="1" w:styleId="a5">
    <w:name w:val="Название Знак"/>
    <w:basedOn w:val="a0"/>
    <w:link w:val="a4"/>
    <w:uiPriority w:val="99"/>
    <w:locked/>
    <w:rsid w:val="00E06A04"/>
    <w:rPr>
      <w:rFonts w:ascii="Times New Roman" w:hAnsi="Times New Roman" w:cs="Times New Roman"/>
      <w:b/>
      <w:sz w:val="20"/>
      <w:szCs w:val="20"/>
      <w:lang w:eastAsia="ru-RU"/>
    </w:rPr>
  </w:style>
  <w:style w:type="paragraph" w:styleId="a6">
    <w:name w:val="List Paragraph"/>
    <w:basedOn w:val="a"/>
    <w:uiPriority w:val="99"/>
    <w:qFormat/>
    <w:rsid w:val="00E06A04"/>
    <w:pPr>
      <w:ind w:left="708"/>
    </w:pPr>
  </w:style>
  <w:style w:type="paragraph" w:customStyle="1" w:styleId="ConsPlusNormal">
    <w:name w:val="ConsPlusNormal"/>
    <w:uiPriority w:val="99"/>
    <w:rsid w:val="00E06A04"/>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uiPriority w:val="99"/>
    <w:semiHidden/>
    <w:rsid w:val="00E06A04"/>
    <w:rPr>
      <w:rFonts w:ascii="Tahoma" w:hAnsi="Tahoma" w:cs="Tahoma"/>
      <w:sz w:val="16"/>
      <w:szCs w:val="16"/>
    </w:rPr>
  </w:style>
  <w:style w:type="character" w:customStyle="1" w:styleId="a8">
    <w:name w:val="Текст выноски Знак"/>
    <w:basedOn w:val="a0"/>
    <w:link w:val="a7"/>
    <w:uiPriority w:val="99"/>
    <w:semiHidden/>
    <w:locked/>
    <w:rsid w:val="00E06A04"/>
    <w:rPr>
      <w:rFonts w:ascii="Tahoma" w:hAnsi="Tahoma" w:cs="Tahoma"/>
      <w:sz w:val="16"/>
      <w:szCs w:val="16"/>
      <w:lang w:eastAsia="ru-RU"/>
    </w:rPr>
  </w:style>
  <w:style w:type="paragraph" w:styleId="a9">
    <w:name w:val="header"/>
    <w:basedOn w:val="a"/>
    <w:link w:val="aa"/>
    <w:uiPriority w:val="99"/>
    <w:rsid w:val="005D03FD"/>
    <w:pPr>
      <w:tabs>
        <w:tab w:val="center" w:pos="4677"/>
        <w:tab w:val="right" w:pos="9355"/>
      </w:tabs>
    </w:pPr>
  </w:style>
  <w:style w:type="character" w:customStyle="1" w:styleId="aa">
    <w:name w:val="Верхний колонтитул Знак"/>
    <w:basedOn w:val="a0"/>
    <w:link w:val="a9"/>
    <w:uiPriority w:val="99"/>
    <w:locked/>
    <w:rsid w:val="005D03FD"/>
    <w:rPr>
      <w:rFonts w:ascii="Times New Roman" w:hAnsi="Times New Roman" w:cs="Times New Roman"/>
      <w:sz w:val="20"/>
      <w:szCs w:val="20"/>
      <w:lang w:eastAsia="ru-RU"/>
    </w:rPr>
  </w:style>
  <w:style w:type="paragraph" w:styleId="ab">
    <w:name w:val="footer"/>
    <w:basedOn w:val="a"/>
    <w:link w:val="ac"/>
    <w:uiPriority w:val="99"/>
    <w:rsid w:val="005D03FD"/>
    <w:pPr>
      <w:tabs>
        <w:tab w:val="center" w:pos="4677"/>
        <w:tab w:val="right" w:pos="9355"/>
      </w:tabs>
    </w:pPr>
  </w:style>
  <w:style w:type="character" w:customStyle="1" w:styleId="ac">
    <w:name w:val="Нижний колонтитул Знак"/>
    <w:basedOn w:val="a0"/>
    <w:link w:val="ab"/>
    <w:uiPriority w:val="99"/>
    <w:locked/>
    <w:rsid w:val="005D03FD"/>
    <w:rPr>
      <w:rFonts w:ascii="Times New Roman" w:hAnsi="Times New Roman" w:cs="Times New Roman"/>
      <w:sz w:val="20"/>
      <w:szCs w:val="20"/>
      <w:lang w:eastAsia="ru-RU"/>
    </w:rPr>
  </w:style>
  <w:style w:type="character" w:styleId="ad">
    <w:name w:val="annotation reference"/>
    <w:basedOn w:val="a0"/>
    <w:uiPriority w:val="99"/>
    <w:semiHidden/>
    <w:unhideWhenUsed/>
    <w:rsid w:val="0029349F"/>
    <w:rPr>
      <w:sz w:val="16"/>
      <w:szCs w:val="16"/>
    </w:rPr>
  </w:style>
  <w:style w:type="paragraph" w:styleId="ae">
    <w:name w:val="annotation text"/>
    <w:basedOn w:val="a"/>
    <w:link w:val="af"/>
    <w:uiPriority w:val="99"/>
    <w:semiHidden/>
    <w:unhideWhenUsed/>
    <w:rsid w:val="0029349F"/>
  </w:style>
  <w:style w:type="character" w:customStyle="1" w:styleId="af">
    <w:name w:val="Текст примечания Знак"/>
    <w:basedOn w:val="a0"/>
    <w:link w:val="ae"/>
    <w:uiPriority w:val="99"/>
    <w:semiHidden/>
    <w:rsid w:val="0029349F"/>
    <w:rPr>
      <w:rFonts w:ascii="Times New Roman" w:eastAsia="Times New Roman" w:hAnsi="Times New Roman"/>
      <w:sz w:val="20"/>
      <w:szCs w:val="20"/>
    </w:rPr>
  </w:style>
  <w:style w:type="paragraph" w:styleId="af0">
    <w:name w:val="annotation subject"/>
    <w:basedOn w:val="ae"/>
    <w:next w:val="ae"/>
    <w:link w:val="af1"/>
    <w:uiPriority w:val="99"/>
    <w:semiHidden/>
    <w:unhideWhenUsed/>
    <w:rsid w:val="0029349F"/>
    <w:rPr>
      <w:b/>
      <w:bCs/>
    </w:rPr>
  </w:style>
  <w:style w:type="character" w:customStyle="1" w:styleId="af1">
    <w:name w:val="Тема примечания Знак"/>
    <w:basedOn w:val="af"/>
    <w:link w:val="af0"/>
    <w:uiPriority w:val="99"/>
    <w:semiHidden/>
    <w:rsid w:val="0029349F"/>
    <w:rPr>
      <w:rFonts w:ascii="Times New Roman" w:eastAsia="Times New Roman" w:hAnsi="Times New Roman"/>
      <w:b/>
      <w:bCs/>
      <w:sz w:val="20"/>
      <w:szCs w:val="20"/>
    </w:rPr>
  </w:style>
  <w:style w:type="paragraph" w:styleId="af2">
    <w:name w:val="Revision"/>
    <w:hidden/>
    <w:uiPriority w:val="99"/>
    <w:semiHidden/>
    <w:rsid w:val="0041067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64016">
      <w:bodyDiv w:val="1"/>
      <w:marLeft w:val="0"/>
      <w:marRight w:val="0"/>
      <w:marTop w:val="0"/>
      <w:marBottom w:val="0"/>
      <w:divBdr>
        <w:top w:val="none" w:sz="0" w:space="0" w:color="auto"/>
        <w:left w:val="none" w:sz="0" w:space="0" w:color="auto"/>
        <w:bottom w:val="none" w:sz="0" w:space="0" w:color="auto"/>
        <w:right w:val="none" w:sz="0" w:space="0" w:color="auto"/>
      </w:divBdr>
    </w:div>
    <w:div w:id="979722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operatio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1346</Words>
  <Characters>9853</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СИБУР</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Першин Сергей Михайлович</dc:creator>
  <cp:lastModifiedBy>Зимина Светлана Евгеньевна</cp:lastModifiedBy>
  <cp:revision>4</cp:revision>
  <dcterms:created xsi:type="dcterms:W3CDTF">2018-09-28T14:16:00Z</dcterms:created>
  <dcterms:modified xsi:type="dcterms:W3CDTF">2018-09-28T14:19:00Z</dcterms:modified>
</cp:coreProperties>
</file>